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PREFEITO MUNICIPAL</w:t>
      </w:r>
    </w:p>
    <w:p/>
    <w:p>
      <w:r>
        <w:rPr>
          <w:b/>
          <w:bCs/>
        </w:rPr>
        <w:t xml:space="preserve">Julgado em: </w:t>
      </w:r>
      <w:r>
        <w:t xml:space="preserve">20/02/1984</w:t>
      </w:r>
    </w:p>
    <w:p/>
    <w:p>
      <w:r>
        <w:t xml:space="preserve">PEDIDO DIRETO — COMPETÊNCIA - VARAS CÍVEIS REGIONAIS</w:t>
      </w:r>
    </w:p>
    <w:p/>
    <w:p>
      <w:pPr>
        <w:pStyle w:val="Heading2"/>
      </w:pPr>
      <w:r>
        <w:rPr>
          <w:b/>
          <w:bCs/>
        </w:rPr>
        <w:t xml:space="preserve">Resumo</w:t>
      </w:r>
    </w:p>
    <w:p>
      <w:r>
        <w:t xml:space="preserve">- Conflito de competência suscitado pelo Juízo de Direito da 2ª Vara de Família da Capital, por ter o Juízo da 4ª Vara Cível Regional de Santa Cruz acolhido exceção de incompetência, argüida em ação de divórcio. Diz que o Código de Organização Judiciária estende a competência das Varas Cíveis Regionais em matéria de direito de família, quando o cônjuge mulher for residente na região, sendo aplicável aos casos de divórcio requerido diretamente. - Prestando informações, diz o Juízo suscitado tratar-se de hipótese de divórcio direto, restringindo-se sua competência às ações de separação judicial, e, de conversão de separação judicial em divórcio. - Opinou a douta Procuradoria de Justiça no sentido do reconhecimento da competência do Juízo suscitante, por não cogitar a Lei que atribuiu competência às Varas Regionais da hipótese de divórcio direto. - De início cumpre ressaltar, que a existência de conflito é evidente, razão por que se impõe seja o mesmo conhecido, para o devido exame. - Analisando a questão, entendemos que razão está, "data venia" da douta Procuradoria de Justiça, com o Juízo suscitante, visto como, objetivou a Lei ao estender à matéria de família a competência das Varas Cíveis Regionais, trazer maior facilidade às partes, e também, descongestionar o Foro do Centro da Capital. - Devido ao fato de mencionar a Lei ações de separação judicial e conversão de separação em divórcio, não vemos razão plausível para que não seja aplicada aos casos de divórcio direto, já que a matéria a examinar é a mesma, persistindo em relação ao pedido, os motivos que ditaram a atribuição de competência às Varas Cíveis Regionais. - O desejo do legislador foi o de atribuir competência às Varas Regionais, para cuidar de forma genérica de matéria pertinente à Família, e, assim deve ser entendido o referido dispositivo legal. - Se o casal, com base nos mesmos fatos, poderia pedir ao invés do divórcio direto, a separação judicial, e, posteriormente convertê-la em divórcio perante o Juízo Regional, não seria razoável admitir-se que pedir o divórcio diretamente, tivesse ele que recorrer às Varas do Foro do Centro da Capital. - Pelos motivos expostos, conhecemos do conflito para reconhecer a competência do Juízo da 4ª Vara Cível Regional de Santa Cruz. Julgado em 21-02-1984 Arquivo do EMFOR, TJ/1.249 EMFOR 428</w:t>
      </w:r>
    </w:p>
    <w:p/>
    <w:p>
      <w:pPr>
        <w:pStyle w:val="Heading2"/>
      </w:pPr>
      <w:r>
        <w:rPr>
          <w:b/>
          <w:bCs/>
        </w:rPr>
        <w:t xml:space="preserve">Ementa</w:t>
      </w:r>
    </w:p>
    <w:p>
      <w:r>
        <w:t xml:space="preserve">Há de se reconhecer a competência dos Juízes das Varas Cíveis Regionais, para conhecer de divórcio pedido diretamente, com base no artigo 40 da Lei nº 6.515, de 22 de dezembro de 1977.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2026-07-28T00:30:52.785Z</dcterms:created>
  <dcterms:modified xsi:type="dcterms:W3CDTF">2026-07-28T00:30:52.785Z</dcterms:modified>
</cp:coreProperties>
</file>

<file path=docProps/custom.xml><?xml version="1.0" encoding="utf-8"?>
<Properties xmlns="http://schemas.openxmlformats.org/officeDocument/2006/custom-properties" xmlns:vt="http://schemas.openxmlformats.org/officeDocument/2006/docPropsVTypes"/>
</file>