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21/11/1983</w:t>
      </w:r>
    </w:p>
    <w:p/>
    <w:p>
      <w:r>
        <w:t xml:space="preserve">PAGAMENTO DO PREÇO SUJEITO A ESTA — NÃO OCORRÊNCIA - DESCONSTITUIÇÃO DO NEGÓCIO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trata de termo, mas de condição para eficácia do negócio jurídico. A distinção consiste em que, no termo, há um acontecimento certo. A condição, ao contrário, refere-se a um acontecimento incerto. - Identificada a relação jurídica condicional, convém registrar que, a despeito de subordinar-se a ato do obrigado, não depende tão-somente dele, mas do concurso de sua vontade com a prática de ato por terceiro: a anuência de outrem na compra e venda do estabelecimento comercial. Cuida-se, portanto, de condição mista e, como tal, eficaz, não sujeita à prescrição do art. 115, segunda parte, do Código Civil. - Se se tiver em consideração a regra do art. 85, da mesma lei civil ter-se-á de convir em que fora vontade das partes, na operação de venda do estabelecimento, condicionar o pagamento do preço da cessão das cotas a evento futuro e incerto - a outra venda que os cessionários viessem a fazer. - Contudo, conquanto lícita a cláusula, não se pode perder de vista os interesses legítimos de cada contratante: o de um receber, em troca das cotas transferidas, o seu valor pecuniário: o do outro, para solver a obrigação, obter numerário de outra operação. - Disso ressai que, se não é lícito sonegar, ao primeiro, o recebimento do preço, também não o é constranger o outro a pagar sem o produto da venda que não logrou realizar. - A causa "debendi" está revelada e não sofre controvérsia: decorre, induvidosamente, da mesma relação jurídica contratual - compra-e-venda do estabelecimento. - Por conseguinte, diante do impasse criado - a frustraneidade da segunda operação, que se presume, em face do apreciável lapso de tempo decor rido -, a solução não pode ser outra que a do desfazimento do negócio: se o devedor não pode pagar, o credor recebe, de volta, a coisa de cuja transferência lhe nascera o crédito. - Afinal, nos negócios condicionais, a eficácia da relação jurídica depende do implemento da condição. E não há compra e venda sem a tríplice integração - "res, praetium et consensus". - Sem qualquer desses componentes - o "praetium" entre eles -, não se aperfeiçoa, porque não se completa, a relação de direito material. - Por tudo isso, a desconstituição do negócio jurídico é o caminho a seguir. O pedido de cobrança mostra-se absolutamente inviável, uma vez que fundado na questionada compra-e-venda mercantil, em que o vencimento da obrigação de pagar o preço, ou a exigibilidade do crédito, ficou subordinado a evento futuro que não se verificou. Julgado em 22-11-1983 Arquivo do Ementário Forense, TJ/1 .234 EMFOR 427 EMENTA: - Aplicação dos artigos 613 e 711 e 713 do Código de Processo Civil. - Concorrendo vários credores, o dinheiro ser-lhes-á distribuído e entregue consoante a ordem das respectivas preleções. - Não havendo título legal à preferência, receberá em primeiro lugar o credor que promoveu a execução, cabendo aos demais concorrentes direito sobre a importância restante, observada a anterioridade de cada penhora. RESUMO DO ACÓRDÃO: - Pela carência do "writ" é o parecer da douta Procuradoria-Geral da justiça (fls.). - Mas, na verdade, merece ser denegado o mandado de segurança. - A própria inicial está a demonstrar que ao impetrante falece direito líquido e certo à obtenção da sustação da arrematação. Se a avaliação do imóvel só cobre o débito para com o impetrante, não suportando nenhum outro ônus ou coisa semelhante, a questão não é de ser dirimida em sede de mandado de segurança. - Com efeito, recaindo mais de uma penhora sobre os mesmos bens, cada credor conservará o seu título de preferência (art. 613 do CPC). E é certo que, concorrendo vários credores, o dinheiro ser-lhes-á distribuído e entregue consoante a ordem das respectivas preleções, não havendo título legal à preferência, recebera em primeiro lugar o credor que promoveu a execução, cabendo aos demais concorrentes direito sobre a importância restante, observada a anterioridade de cada penhora (art. 711 do CPC). Os credores formularão as suas pretensões, requerendo as provas que irão produzir em audiência; mas a disputa entre eles versará unicamente sobre o direito de preferência e a anterioridade da penhora (art. 712 do CPC). Só findo o debate o juiz proferirá a sentença (art. 713 do CPC). - Como se verifica, o impetrante quer substituir todo esse procedimento legal por este mandado da segurança. - Só nele, e não aqui, é que deve ser solucionada a questão das preferências, a questão das preleções, a questão relativa à natureza ju rídica da caução converti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na compra e venda de estabelecimento comercial o pagamento do preço ficou condicionado a evento futuro e incerto, e se, apesar do tempo transcorrido, a condição não se verificou, deve ser o negócio desfeito.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2026-10-26T04:18:56.450Z</dcterms:created>
  <dcterms:modified xsi:type="dcterms:W3CDTF">2026-10-26T04:18:56.450Z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