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Julgado em: </w:t>
      </w:r>
      <w:r>
        <w:t xml:space="preserve">02/04/1984</w:t>
      </w:r>
    </w:p>
    <w:p/>
    <w:p>
      <w:r>
        <w:t xml:space="preserve">PRAZO — TRÊS ANOS - APLICAÇÃO DA LEI UNIFORME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é no sentido de decretar a extinção do processo, ante a prescrição da ação. - A Lei Uniforme relativa às letras de câmbio e notas promissórias, em seu art. 70, estabelece que "Todas as ações contra o aceitante prescrevem em três anos, a contar do seu vencimento". - O art. 77 da mesma lei declara serem aplicáveis às notas promissórias, as disposições relativas às letras e concernentes, abrangendo estas disposições a prescrição. - No caso dos autos, vê-se pelas duas xerocópias das promissórias cobradas, que elas se venceram em 18-05-1974. - Está, assim, prescrito o direito dos apelados cobrarem os títulos. Julgado em 03-04-1984 Arquivo do Ementário forense, TA/729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cobrança da Nota Promissória prescreve em três anos, a contar do seu vencimento.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2026-10-26T02:34:10.406Z</dcterms:created>
  <dcterms:modified xsi:type="dcterms:W3CDTF">2026-10-26T02:34:10.406Z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