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Julgado em: </w:t>
      </w:r>
      <w:r>
        <w:t xml:space="preserve">02/04/1984</w:t>
      </w:r>
    </w:p>
    <w:p/>
    <w:p>
      <w:r>
        <w:t xml:space="preserve">PRAZO — TRÊS ANOS - APLICAÇÃO DA LEI UNIFORME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é no sentido de decretar a extinção do processo, ante a prescrição da ação. - A Lei Uniforme relativa às letras de câmbio e notas promissórias, em seu art. 70, estabelece que "Todas as ações contra o aceitante prescrevem em três anos, a contar do seu vencimento". - O art. 77 da mesma lei declara serem aplicáveis às notas promissórias, as disposições relativas às letras e concernentes, abrangendo estas disposições a prescrição. - No caso dos autos, vê-se pelas duas xerocópias das promissórias cobradas, que elas se venceram em 18-05-1974. - Está, assim, prescrito o direito dos apelados cobrarem os títulos. Julgado em 03-04-1984 Arquivo do Ementário forense, TA/729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cobrança da Nota Promissória prescreve em três anos, a contar do seu vencimento.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2026-07-28T06:45:09.319Z</dcterms:created>
  <dcterms:modified xsi:type="dcterms:W3CDTF">2026-07-28T06:45:09.319Z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