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27/09/1999</w:t>
      </w:r>
    </w:p>
    <w:p/>
    <w:p>
      <w:r>
        <w:t xml:space="preserve">SUBSTITUIÇÃO DE ÍNDICE DE INDEXAÇÃO TR PELO INPC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Tribunal Federal, no julgamento das ADINs nº 493, Relator o Sr. Ministro Moreira Alves; nº 768, Relator o Sr. Ministro Sydney Sanches, não excluiu do universo jurídico a Taxa Referencial, TR, vale dizer, não decidiu no sentido de que a TR não pode ser utilizada como índice de indexação. O que o Supremo Tribunal decidiu, nas referidas ADINs, é que a TR não pode ser imposta como índice de indexação, em substituição a índices estipulados em contratos firmados anteriormente à Lei nº 8.177, de 01-03-91. Essa imposição violaria os princípios constitucionais do ato jurídico perfeito e do direito adquirido, CF, art. 5º, XXXVI. No caso, não há falar em contrato em que ficara ajustado um certo índice de indexação e que estivesse esse índice sendo substituído pela TR. É dizer, no caso, não há nenhum contrato a impedir a aplicação da TR. - Assim, se analisada sob a ótica proposta pelos agravantes - infração, com a adoção da TR, de normas do Código de Defesa do Consumidor -, outro pode ser o resultado da demanda, o que, porém, deve ser cumpridamente demonstrado no correr do processo. - Ao exposto, nego provimento ao recurso. Julgado em 28-09-1999 Jurisprudência Mineira - Vol. 151 Janeiro a Março de 2000 - Pág. 144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 antecipação da tutela é possível antecipar os efeitos da decisão final, e não o conteúdo dela própria, razão por que é de ser negado pedido de substituição de plano da TR, como índice de correção monetária estabelecido no contrato, pelo IPC, compreendendo todo o período contratual.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2026-10-26T02:24:16.420Z</dcterms:created>
  <dcterms:modified xsi:type="dcterms:W3CDTF">2026-10-26T02:24:16.420Z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