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06/10/1999</w:t>
      </w:r>
    </w:p>
    <w:p/>
    <w:p>
      <w:r>
        <w:t xml:space="preserve">PENSÃO — EXTENSÃO AOS HERDEIROS DO LESADO - IMPROCEDÊNCIA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Êxito, porém, não reclamam os pedidos do autor-apelante quanto à transmissão da pensão aos seus sucessores, em caso de morte, e de elevação da indenização pelo dano moral. - O pensionamento arbitrado é pessoal e constitui reparação do prejuízo irrogado à vítima, sendo que sua extensão aos sucessores desta, além de demandar prova do nexo de causalidade entre superveniente morte e o sinistro, somente seria passível de deferimento em ação própria. Julgado em 07-10-1999 Jurisprudência Mineira - Vol. 151 Janeiro a Março de 2000 - Pág. 183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indenização por ato ilícito, não procede o pedido de transmissão da pensão aos sucessores do lesado, em caso de morte, uma vez que o pensionamento é pessoal e constitui reparação do prejuízo irrogado à vítima. A extensão aos sucessores da mesma, além de demandar prova do nexo de causalidade entre superveniente morte e o sinistro, somente pode ser deferida em ação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2026-10-26T04:41:27.843Z</dcterms:created>
  <dcterms:modified xsi:type="dcterms:W3CDTF">2026-10-26T04:41:27.843Z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