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06/10/1999</w:t>
      </w:r>
    </w:p>
    <w:p/>
    <w:p>
      <w:r>
        <w:t xml:space="preserve">PENSÃO — EXTENSÃO AOS HERDEIROS DO LESADO - IMPROCEDÊNCIA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Êxito, porém, não reclamam os pedidos do autor-apelante quanto à transmissão da pensão aos seus sucessores, em caso de morte, e de elevação da indenização pelo dano moral. - O pensionamento arbitrado é pessoal e constitui reparação do prejuízo irrogado à vítima, sendo que sua extensão aos sucessores desta, além de demandar prova do nexo de causalidade entre superveniente morte e o sinistro, somente seria passível de deferimento em ação própria. Julgado em 07-10-1999 Jurisprudência Mineira - Vol. 151 Janeiro a Março de 2000 - Pág. 183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indenização por ato ilícito, não procede o pedido de transmissão da pensão aos sucessores do lesado, em caso de morte, uma vez que o pensionamento é pessoal e constitui reparação do prejuízo irrogado à vítima. A extensão aos sucessores da mesma, além de demandar prova do nexo de causalidade entre superveniente morte e o sinistro, somente pode ser deferida em ação própria.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2026-07-28T02:38:11.878Z</dcterms:created>
  <dcterms:modified xsi:type="dcterms:W3CDTF">2026-07-28T02:38:11.878Z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