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INTERNAÇÃO HOSPITALAR</w:t>
      </w:r>
    </w:p>
    <w:p/>
    <w:p>
      <w:r>
        <w:rPr>
          <w:b/>
          <w:bCs/>
        </w:rPr>
        <w:t xml:space="preserve">Recurso: </w:t>
      </w:r>
      <w:r>
        <w:t xml:space="preserve">agravo de Instrumento 29.603-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20/10/1999</w:t>
      </w:r>
    </w:p>
    <w:p/>
    <w:p>
      <w:r>
        <w:t xml:space="preserve">HABILITAÇÃO ANTERIOR AO CONVÊNIO Nº 69/98 — NÃO INCIDÊNCIA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dispõe o art. 146 do CTN: "A modificação introduzida, de ofício ou em consequência de decisão administrativa ou judicial, nos critérios jurídicos adotados pela autoridade administrativa, no exercício do lançamento, somente pode ser efetivada, em relação a um mesmo sujeito passivo, quanto a fato gerador ocorrido posteriormente à sua introdução". - De fato, ensina ALIOMAR BALEEIRO, ao comentar o referido dispositivo: "... em se tratando de normas relativas ao lançamento, a inovação só se aplicará ao mesmo contribuinte se ocorrer fato gerador posteriormente à modificação. Sobrevivem as situações constituídas anteriormente e que são definitivas. No agravo de Instrumento nº 29.603-RS, de 18/06/65, RTJ, 34/542, o STF, Segunda Turma, decidirá já que a mudança de critério ou orientação da autoridade fiscal não pode prejudicar o contribuinte, que agiu de acordo com o critério anterior, predominante ao tempo da tributação" ("Direito Tributário Brasileiro", 10ª ed., p. 510, 1996). - Daí a impossibilidade de retroagir a cobrança às habilitações anteriores, mesmo em se tratando de convênios de natureza interpretativa e exemplificativa, como quer a autoridade impetrada (fls.). - Isto posto, dou provimento ao apelo do Ministério Público e reformo a sentença em reexame, para conceder a se gurança, nos termos do pedido alternativo, prejudicado o recurso estatal. Julgado em 21-10-1999 Jurisprudência Mineira - Vol. 151 Janeiro a Março de 2000 - Pág. 201 EMENTÁRIO FORENSE. Janeiro, 2001. Ano LIII. Nº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Diante do disposto no art. 146 do CTN, em se tratando de normas relativas ao lançamento, a inovação só se aplicará ao mesmo contribuinte se ocorrer fato gerador posteriormente à modificação, não podendo a mudança dos critérios jurídicos ou orientação da autoridade fiscal prejudicar o contribuinte que agiu de acordo com o critério anterior, predominante à época da tributação. Daí a impossibilidade de se cobrar ICMS sobre habilitações de telefone celular ocorridas em datas anteriores ao Convênio nº 69/98, que inclui as mencionadas habilitações na lista de serviços de comunicação tributáveis.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2026-07-28T07:08:32.207Z</dcterms:created>
  <dcterms:modified xsi:type="dcterms:W3CDTF">2026-07-28T07:08:32.207Z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