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agravo de Instrumento 29.603-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20/10/1999</w:t>
      </w:r>
    </w:p>
    <w:p/>
    <w:p>
      <w:r>
        <w:t xml:space="preserve">HABILITAÇÃO ANTERIOR AO CONVÊNIO Nº 69/98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art. 146 do CTN: "A modificação introduzida, de ofício ou em consequência de decisão administrativa ou judicial, nos critérios jurídicos adotados pela autoridade administrativa, no exercício do lançamento, somente pode ser efetivada, em relação a um mesmo sujeito passivo, quanto a fato gerador ocorrido posteriormente à sua introdução". - De fato, ensina ALIOMAR BALEEIRO, ao comentar o referido dispositivo: "... em se tratando de normas relativas ao lançamento, a inovação só se aplicará ao mesmo contribuinte se ocorrer fato gerador posteriormente à modificação. Sobrevivem as situações constituídas anteriormente e que são definitivas. No agravo de Instrumento nº 29.603-RS, de 18/06/65, RTJ, 34/542, o STF, Segunda Turma, decidirá já que a mudança de critério ou orientação da autoridade fiscal não pode prejudicar o contribuinte, que agiu de acordo com o critério anterior, predominante ao tempo da tributação" ("Direito Tributário Brasileiro", 10ª ed., p. 510, 1996). - Daí a impossibilidade de retroagir a cobrança às habilitações anteriores, mesmo em se tratando de convênios de natureza interpretativa e exemplificativa, como quer a autoridade impetrada (fls.). - Isto posto, dou provimento ao apelo do Ministério Público e reformo a sentença em reexame, para conceder a se gurança, nos termos do pedido alternativo, prejudicado o recurso estatal. Julgado em 21-10-1999 Jurisprudência Mineira - Vol. 151 Janeiro a Março de 2000 - Pág. 201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Diante do disposto no art. 146 do CTN, em se tratando de normas relativas ao lançamento, a inovação só se aplicará ao mesmo contribuinte se ocorrer fato gerador posteriormente à modificação, não podendo a mudança dos critérios jurídicos ou orientação da autoridade fiscal prejudicar o contribuinte que agiu de acordo com o critério anterior, predominante à época da tributação. Daí a impossibilidade de se cobrar ICMS sobre habilitações de telefone celular ocorridas em datas anteriores ao Convênio nº 69/98, que inclui as mencionadas habilitações na lista de serviços de comunicação tributáveis.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2026-10-26T04:40:54.255Z</dcterms:created>
  <dcterms:modified xsi:type="dcterms:W3CDTF">2026-10-26T04:40:54.255Z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