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Julgado em: </w:t>
      </w:r>
      <w:r>
        <w:t xml:space="preserve">24/11/1999</w:t>
      </w:r>
    </w:p>
    <w:p/>
    <w:p>
      <w:r>
        <w:t xml:space="preserve">DANCETERIA — POLUIÇÃO SONORA VERIFICADA - REVOGAÇÃO DO 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Vê-se, então, que o ato administrativo impugnado, calcado no poder de polícia, se ancorou em legislação bastante (arts. 8º, I, II, IV, V, VI, e 10, XXX, da Lei Federal nº 6.437/77, c/c o art. 54 da Lei nº 9.605/98; art. 2º, II, da Lei Municipal nº 1.795/91, e Lei Municipal nº 1.783/91), e ainda, condicionou a interdição ao cumprimento pela empresa, das " exigências legais necessárias" (fls.), traduzidas na elaboração e apresentação de "projeto técnico de isolamento acústico", constante do termo de intimação e de vários autos de infração, como os lavrados em 19 e 31/08/98 (fls.). - Foi assim, em um auto, determinado expressamente que, no prazo de 30 (trinta) dias, deveria a Casa "...manter a intensidade sonora de 85 dB (A) no máximo no interior da mesma ..." (fls.), e fazer, dentro daquele mesmo período, a apresentação de "licença especial da SEMFA/PMI autorizando o funcionamento após as 22h..." (fls.), nos limites do que prescreve o art. 28 da Lei Municipal nº 1.795 ( Código de Posturas do Município de Itajubá), "verbis": "As atividades que produzem ruídos, inclusive as de construção civil, quando distarem menos de 500 m de hospitais, escolas, asilos e residências, só poderão ser executadas nos dias úteis e no período de 7 às 22 horas". - Logo, o exercício do direito de defesa pela empresa não sofreu obstáculo algum, sendo que a extrapolação dos limites de intensidade dos ruídos, após aquela data (fls.), é que ocasionou a medida, ora impugnada. E não é demais ressaltar que, após a revogação da interdição temporária, abriu-se à impetrante novo prazo para a apresentação do projeto acústico (fls.). - Não se configurou, pois, cerceamento de defesa, tendo a interdição sido justificada pelo não atendimento às posturas municipais e aos termos das notificações. - Ora, 'dado que o poder de polícia administrativa tem em mira cingir a livre atividade dos particulares, a fim de evitar uma consequência anti-social que dela poderia derivar, o condicionamento que impõe requer frequentemente a prévia demonstração de sujeição do particular aos ditames legais. Assim, este pode se encontrar na obrigação de não fazer alguma coisa até que a Administração verifique que a atividade por ele pretendida se realizará segundo padrões legalmente permitidos" (CELSO ANTÔNIO BANDEIRA DE MELLO, "Curso de Direito Administrativo", 11ª ed., Malheiros, 1999, p. 563). - E a existência de anterior licença de localização e funcionamento da empresa no ramo de danceteria (fls.) não justifica o uso nocivo da atividade e não constitui óbice à autuação quando constatada a irregularidade. - A propósito, além do laudo de vistoria (fls.), a comprovação da existência de poluição sonora e dos efeitos nocivos à circunvizinhança ficou também atestada por competente laudo técnico pericial (fls.). - Em casos que tais, evidente é que o interesse público se sobrepõe ao individual, de forma inconteste, como legitim ado para embasar as ações do Poder Público. - É valiosa, neste sentido, a lição de CELSO ANTONIO BANDEIRA DE MELLO, "... o Poder Público se encontra em situação de autoridade, de comando, relativamente aos particulares, como indispensável condição para gerir os interesses públicos postos em confronto. Compreende, em face da sua desigualdade, a possibilidade, em favor da Administração, de "constituir os privados em obrigação por meio de ato unilateral" daquela. Implica, outrossim, muitas vezes, o direito de "modificar, também unilateralmente", relações já estabelecidas" (ob. cit., p. 30). - E o exercício do poder de polícia é uma das formas de concretude deste princípio, já que tem por escopo prevenir abusos e impedir as atividades particulares contrastantes com os interesses sociais. Julgado em 25-11-1999 Jurisprudência Mineira - Vol. 151 Janeiro a Março de 2000 - Pág. 219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ato administrativo de interdição do estabelecimento produtor de poluição sonora se calcou no poder de polícia e foi ancorado em legislação pertinente ao assunto e se a empresa, após notificada, não atendeu aos termos da notificação, deixando de cumprir as exigências legais necessárias, o seu direito de defesa não sofreu nenhum obstáculo, ficando desconfigurado o alegado cerceamento de defesa. - A existência anterior de licença de localização e funcionamento da empresa no ramo de danceteria não justifica o uso da atividade e não constitui óbice à sua interdição, quando comprovada a poluição sonora e os efeitos nocivos à circunvizinhança. Em casos tais, o interesse público se sobrepõe ao individual, de forma inconteste, colocando-se o Poder Público em situação de autoridade, no exercício do seu poder de polícia, que tem por escopo prevenir os abusos e impedir as atividades particulares contrastantes com os interesses sociais.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2026-10-26T03:26:53.019Z</dcterms:created>
  <dcterms:modified xsi:type="dcterms:W3CDTF">2026-10-26T03:26:53.019Z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