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20/12/1999</w:t>
      </w:r>
    </w:p>
    <w:p/>
    <w:p>
      <w:r>
        <w:t xml:space="preserve">IMPLANTAÇÃO DE PRÓTESE NEGADA PELO SUS — DIFERENÇA CUSTEADA PELO PACIENTE - DEVER DE INDENIZAR - SEGURANÇA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direito à saúde é direito subjetivo público, oponível ao Estado, apontado em várias partes da Constituição vigente, alinhado, lado a lado, com outros direitos da mesma natureza, como educação, trabalho, segurança, proteção à maternidade, à infância e outros. - Deferida a liminar, informa a autoridade coatora ter cumprido a ordem judicial e autorizado a emissão de guia de internação pelo SUS para submissão do impetrante ao procedimento cirúrgico indicado e da sentença que confirma a liminar; concedendo-se a segurança, não se apresentou recurso voluntário, conformando-se o impetrado com a decisão emitida. - Diante da disponibilidade do impetração em custear com recursos próprios as diferenças verificadas entre a angioplastia simples, procedimento autorizado pelo SUS, e aquela com a implantação da prótese (stent), em vias de estudo para apuração do custo e inclusão na tabela do Sistema Único de Saúde, tem-se que nenhum privilégio ou tratamento diferenciado se concedeu ao impetrante nem se onerou o sistema de saúde acima do custo previsto e autorizado. - À vista de tais fatos, no reexame necessário, confirmo a sentença concessiva da segurança. Julgado em 21-12-1999 Jurisprudência Mineira - Vol. 151 Janeiro a Março de 2000 - Pág. 222 EMENTÁRIO FORENSE. Janeiro, 2001. Ano LIII. Nº 626 EMENTA: - Incide correção monetária sobre crédito de ICMS tardiamente aproveitado, constituindo tal reajuste mera atualização de valores, no escopo de impedir o enriquecimento ilícito do Estado, em detrimento do contribuinte. RESUMO DO ACÓRDÃO: - A correção monetária não é inerente à indexação da escrituração tributária, mas à recomposição da diferença entre a previsão e a efetivação do fato gerador. Portanto, a natureza da correção monetária de ressarcimento não é mesma da correção monetária indexadora, adotada pela legislação brasileira para a escrituração fiscal, em época de inflação elevada, e não é justo comparar-se a falta da correção monetária indexadora, atualmente, para se negar a correção monetária de ressarcimento. Para ser íntegra a recomposição, deverá ser corrigida a expressão do seu valor. A "restitutio in integrum" não decorre também do caráter ilícito do ato, mas da efetividade da Constituição que existe na não cumulatividade do ICMS. - Não existisse o princípio geral de direito, da equidade, que infunde a condenação do enriquecimento ilícito ou sem causa e repele o pagamento indevido, a legislação brasileira estabeleceu expressamente a correção monetária em todos os débitos resultantes de decisões judiciais (art. 1º da Lei nº 6.899, de 8 de abril de 1981). - O eg. Tribunal Federal de Recursos, em suas Súmulas nºs 46 e 47, com o abono do STF, entendeu que em caso de cancelamento do débito fiscal, a correção monetária, relativa à restituição da importância depositada em garantia de instância, incide a partir de cada pagamento ou depósito para discussão (RTFR, 79/40 a 56 e 16/143; RTJ, 117/899, 119/300, 125/737; STF-RT, 628/246; "Lex"-JTA, 73/80). - Assim, deve ser deferida a apurada incidência da correção monetária ao crédito de ICMS a ser compensado, ainda que extemporaneamente. A atualização monetária não significa majoração, mas simples preservação do poder aquisitivo da moeda, pois, como é pac ífico, não traduz acréscimo. Se o recolhimento do tributo corrigido monetariamente não significa majoração, mas simples manutenção do poder aquisitivo da moeda, garantindo que o fisco perceba a integralidade do débito, inexistindo vulneração ao princípio da não-cumulatividade do imposto, o mesmo raciocínio deve ser aplicado quando houver aproveitamento extemporâneo de crédito do ICMS, para que se observe o princípio que veda o enriquecimento sem causa. - Decidiu o egrégio STJ julgamento do Resp nº 91.978-SP, Primeira Turma, j. em 05-08-1996, Relator o Exmo. Sr. Ministro José Delgado, publicado no DJ de 23-09-1996, p. 35.059: "Ementa: Tributário. ICMS. Crédito. Correção monetária. 1. A não-correção monetária de créditos do ICMS, em regime de moeda inflacionária, quer sejam lançados extemporaneamente ou não, fere os princípios da compensação, da não-cumulatividade e do enriquecimento sem causa. 2. A permissibilidade de corrigir-se monetariamente o crédito do ICMS pela entrada de mercadoria visa impedir-se que o Estado receba mais do que lhe é devido, se for congelado o valor nominal do imposto lançado quando da entrada da mercadoria no estabelecimento. 3. O crédito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à saúde é direito subjetivo público, oponível ao Estado, apontado em várias partes da Constituição vigente e alinhado, lado a lado, com outros direitos da mesma natureza. - Concede-se a segurança impetrada por paciente que teve negada autorização para se submeter a procedimento cirúrgico com implantação de prótese por intermédio do SUS, se a diferença entre o procedimento simples autorizado e o necessário por indicação médica for custeada pelo próprio impetrante, sem ônus suplementar para o sistema de saúde em questão.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2026-10-26T02:13:38.969Z</dcterms:created>
  <dcterms:modified xsi:type="dcterms:W3CDTF">2026-10-26T02:13:38.969Z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