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>
      <w:r>
        <w:rPr>
          <w:b/>
          <w:bCs/>
        </w:rPr>
        <w:t xml:space="preserve">Julgado em: </w:t>
      </w:r>
      <w:r>
        <w:t xml:space="preserve">21/02/2000</w:t>
      </w:r>
    </w:p>
    <w:p/>
    <w:p>
      <w:r>
        <w:t xml:space="preserve">SUJEITO ATIVO — PRAZO DECADENCIAL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o autor nasceu em 13 de setembro de 1957 e só veio a propor a ação de "investigatória de paternidade c/c nulidade de ato jurídico", isto é, a impugnação à paternidade constante em seu registro de nascimento, em 1º de outubro de 1997, quando já caracterizada a decadência do seu direito à impugnação da paternidade declarada livremente pelo pai. - Efetivamente, é inadmissível reconhecer-se a retroatividade do ECA - Lei nº 8.069/90. - E, se se admitisse a retroatividade da Lei mencionada, que diz ser imprescritível "o reconhecimento do estado de filiação", e não para "impugnar a filiação já livremente reconhecida e declarada", há que se atentar a que "investigar" significa buscar algo desconhecido. E, no caso em apreço, nada há desconhecido, pois não se busca a declaração da paternidade do "investigante", porque já constante do seu registro de nascimento. Mas, buscar-se-ia o pai biológico, sob alegação de que o constante do registro não seria verdadeiro. Daí descaber o enunciado da Súmula nº 149 do STF, dispondo que: "É imprescindível a ação de investigação de paternidade, mas não o é a de petição de herança", eis que visa garantir a bu sca da paternidade, já encontrada, no caso, restando relegada ou condicionada aos textos legais normais a suposta ou até mesmo veraz procura da verdade real relativa à paternidade. - Neste sentido é o magistral acórdão do colendo STJ, "verbis": "Civil e processo civil. Ação de investigação de paternidade cumulada com retificação de registro civil. Decadência. Arts. 178, § 9º, VI, e 362, CC. Exceção ao princípio da imprescritibilidade das ações de declaração de estado. Precedentes da Corte (Resp. nºs 1.380-RJ e 19.244-PR). Recurso provido. I - O reconhecimento voluntário da paternidade, realizado quando ainda menor perfilhado, somente pode por este ser impugnado dentro dos quatro anos que se seguirem à sua maioridade ou emancipação. II - Mesmo a impugnação fundada na inveracidade da declaração do perfilhante (falso ideológico) se sujeita ao referido prazo decadencial, cujo transcurso "in albis" - sem manifestação de insurgência de qualquer espécie - conduz à inviabilidade de desconstituição do ato de reconhecimento, tornando definitiva a relação de parentesco entre reconhecente e reconhecido. III - A investigatória de paternidade, em tais circunstâncias, proposta quando já expirado o quadriênio legal, é de ser havida por inadmissível, cumprindo ao juiz declarar o autor carecedor da ação por impossibilidade jurídica do pedido". (Resp. nº 38.856/2-RS, Quarta Turma, Rel. Min. Sálvio de Figueiredo Teixeira, DJ de 15-08-1994, p. 20.339; JurisSintese nº 201.305). - Reporto-me, ainda, ao v. aresto unânime, relatado pelo em. Des. Monteiro de Barros, no Agravo de Instrumento nº 111.051/9-B.Hte., j. 24/agosto/1998, publicado no "Minas Gerais - Diário do Judiciário" de 04 de fevereiro de 1999 (cópia à fl.100), ementado: "Recurso. Agravo de instrumento. Ação de investigação de paternidade cumulada com anulação de registro civil. Preliminar de decadência. Acolhimento. Recurso provido. - A teor do art. 178, § 9º, VI, do Código Civil, combinado com o art. 362 do mesmo diploma legal, ultrapassado o prazo de 4 (quatro) anos seguintes à maioridade, ou emancipação do filho, ocorre a decadência para propositura da ação que visa impugnar a paternidade contida no seu registro civil e retificá-lo para dele retirar o nome daquele que consta como seu pai, mas que, biologicamente, não o é, e assentar o nome do seu verdadeiro genitor. Não se pode aplicar à espécie o entendimento pretoriano da imprescritibilidade da ação de investigação de paternidade e deixar em aberto um prazo para aquele que, quando menor, teve uma declaração de paternidade emitida com falsidade ideológica, quando já ultrapassado o prazo a que se refere a Lei material para retificação do registro". - No voto relativo ao referido agravo de instrumento, colacionou-se lição da Profª. MARIA HELENA DINIZ, que se realça: "Se um menor for reconhecido, confere a Lei o direito de impugnar seu reconhecimento dentro dos quatro anos que se seguirem à sua maioridade ou emancipação, mediante ação de contestação de reconhecimento, se fundada na falta de sincerida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voluntário da paternidade, ocorrido quando ainda menor o perfilhado, somente por este pode ser impugnado, dentro dos 4 (quatro) anos que se seguirem à sua maioridade ou emancipação, sujeitando-se ao referido prazo até mesmo a impugnação fundada na inveracidade da declaração do perfilhante (falso ideológico), sendo inadmissível a investigatória de paternidade, em tais circunstâncias, ajuizada quando já expirado o quadriênio legal, cumprindo ao juiz declarar o autor carecedor da ação, por impossibilidade jurídica do pedido. - Existindo o assento em que se declara que o autor é filho legítimo de determinada pessoa, não pode o mesmo interessado pretender o reconhecimento de paternidade diversa, enquanto subsiste o aludido registro de nascimento.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2026-07-28T02:45:59.335Z</dcterms:created>
  <dcterms:modified xsi:type="dcterms:W3CDTF">2026-07-28T02:45:59.335Z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