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r>
        <w:rPr>
          <w:b/>
          <w:bCs/>
        </w:rPr>
        <w:t xml:space="preserve">Recurso: </w:t>
      </w:r>
      <w:r>
        <w:t xml:space="preserve">mandado de segurança .</w:t>
      </w:r>
    </w:p>
    <w:p/>
    <w:p>
      <w:r>
        <w:t xml:space="preserve">06. LIVRO SEGUNDO — Normas Gerais de Direito Tributário
      TÍTULO III - Crédito Tributário</w:t>
      </w:r>
    </w:p>
    <w:p/>
    <w:p>
      <w:pPr>
        <w:pStyle w:val="Heading2"/>
      </w:pPr>
      <w:r>
        <w:rPr>
          <w:b/>
          <w:bCs/>
        </w:rPr>
        <w:t xml:space="preserve">Ementa</w:t>
      </w:r>
    </w:p>
    <w:p>
      <w:r>
        <w:t xml:space="preserve">TÍTULO III Crédito Tributário CAPÍTULO I Disposições Gerais Art. 139. O crédito tributário decorre da obrigação principal e tem a mesma natureza desta. Art. 140. As circunstâncias que modificam o crédito tributário, sua extensão ou seus efeitos, ou as garantias ou os privilégios a ele atribuídos, ou que excluem sua exigibilidade não afetam a obrigação tributária que lhe deu origem. Art. 141. O crédito tributário regularmente constituído somente se modifica ou extingue, ou tem sua exigibilidade suspensa ou excluída, nos casos previstos nesta Lei, fora dos quais não podem ser dispensadas, sob pena de responsabilidade funcional na forma da lei, a sua efetivação ou as respectivas garantias. CAPÍTULO II Constituição de Crédito Tributário SEÇÃO I Lançamento Art. 142. Compete privativamente à autoridade administrativa constituir o crédito tributário pelo lançamento, assim entendido o procedimento administrativo tendente a verificar a ocorrência do fato gerador da obrigação correspondente, determinar a matéria tributável, calcular o montante do tributo devido, identificar o sujeito passivo e, sendo caso, propor a aplicação da penalidade cabível. Parágrafo único. A atividade administrativa de lançamento é vinculada e obrigatória, sob pena de responsabilidade funcional. Art. 143. Salvo disposição de lei em contrário, quando o valor tributário esteja expresso em moeda estrangeira, no lançamento far-se-á sua conversão em moeda nacional ao câmbio do dia da ocorrência do fato gerador da obrigação. Art. 144. O lançamento reporta-se à data da ocorrência do fato gerador da obrigação e rege-se pela lei então vigente, ainda que posteriormente modificada ou revogada. § 1º Aplica-se ao lançamento a legislação que, posteriormente à ocorrência do fato gerador da obrigação, tenha instituído novos critérios de apuração ou processos de fiscalização, a mpliado os poderes de investigação das autoridades administrativas, ou outorgado ao crédito maiores garantias ou privilégios, exceto, neste último caso, para o efeito de atribuir responsabilidade tributária a terceiros. § 2º O disposto neste artigo não se aplica aos impostos lançados por períodos certos de tempo, desde que a respectiva lei fixe expressamente a data em que o fato gerador se considera ocorrido. Art. 145. O lançamento regularmente notificado ao sujeito passivo só pode ser alterado em virtude de: I - impugnação do sujeito passivo; II - recurso de ofício; III - iniciativa de ofício da autoridade administrativa, nos casos previstos no artigo 149. Art. 146. A modificação introduzida, de ofício ou em conseqüência de decisão administrativa ou judicial, nos critérios jurídicos adotados pela autoridade administrativa no exercício do lançamento somente pode ser efetivada, em relação a um mesmo sujeito passivo, quanto a fato gerador ocorrido posteriormente à sua introdução. SEÇÃO II Modalidades de Lançamento Art. 147. O lançamento é efetuado com base na declaração do sujeito passivo ou de terceiro, quando um ou outro, na forma da legislação tributária, presta à autoridade administrativa informações sobre matéria de fato, indispensáveis à sua efetivação. § 1º A retificação da declaração por iniciativa do próprio declarante, quando vise a reduzir ou a excluir tributo, só é admissível mediante comprovação do erro em que se funde, e antes de notificado o lançamento. § 2º Os erros contidos na declaração e apuráveis pelo seu exame serão retificados de ofício pela autoridade administrativa a que competir a revisão daquela. Art. 148. Quando o cálculo do tributo tenha por base, ou tem em consideração, o valor ou o preço de bens, direitos, serviços ou atos jurídicos, a autoridade lançadora, mediante processo regular, arbitrará aquele valor ou preço, sempre que sejam omissos o u não mereçam fé as declarações ou os esclarecimentos prestados, ou os documentos expedidos pelo sujeito passivo ou pelo terceiro legalmente obrigado, ressalvada, em caso de contestação, avaliação contraditória, administrativa ou judicial. Art. 149. O lançamento é efetuado e revisto de ofício pela autoridade administrativa nos seguintes casos: I - quando a lei assim o determine; II - quando a declaração não seja prestada, por quem de direito, no prazo e na forma da legislação tributária; III - quando a pessoa legalmente obrigada, embora tenha prestado declaração nos termos do inciso anterior, deixe de atender, no prazo e na forma da legislação tributária, a pedido de esclarecimento formulado pela autoridade administrativa, recuse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2026-09-10T22:44:38.130Z</dcterms:created>
  <dcterms:modified xsi:type="dcterms:W3CDTF">2026-09-10T22:44:38.130Z</dcterms:modified>
</cp:coreProperties>
</file>

<file path=docProps/custom.xml><?xml version="1.0" encoding="utf-8"?>
<Properties xmlns="http://schemas.openxmlformats.org/officeDocument/2006/custom-properties" xmlns:vt="http://schemas.openxmlformats.org/officeDocument/2006/docPropsVTypes"/>
</file>