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r>
        <w:rPr>
          <w:b/>
          <w:bCs/>
        </w:rPr>
        <w:t xml:space="preserve">Recurso: </w:t>
      </w:r>
      <w:r>
        <w:t xml:space="preserve">mandado de segurança .</w:t>
      </w:r>
    </w:p>
    <w:p/>
    <w:p>
      <w:r>
        <w:t xml:space="preserve">06. LIVRO SEGUNDO — Normas Gerais de Direito Tributário
      TÍTULO III - Crédito Tributário</w:t>
      </w:r>
    </w:p>
    <w:p/>
    <w:p>
      <w:pPr>
        <w:pStyle w:val="Heading2"/>
      </w:pPr>
      <w:r>
        <w:rPr>
          <w:b/>
          <w:bCs/>
        </w:rPr>
        <w:t xml:space="preserve">Ementa</w:t>
      </w:r>
    </w:p>
    <w:p>
      <w:r>
        <w:t xml:space="preserve">TÍTULO III Crédito Tributário CAPÍTULO I Disposições Gerais Art. 139. O crédito tributário decorre da obrigação principal e tem a mesma natureza desta. Art. 140. As circunstâncias que modificam o crédito tributário, sua extensão ou seus efeitos, ou as garantias ou os privilégios a ele atribuídos, ou que excluem sua exigibilidade não afetam a obrigação tributária que lhe deu origem. Art. 141. O crédito tributário regularmente constituído somente se modifica ou extingue, ou tem sua exigibilidade suspensa ou excluída, nos casos previstos nesta Lei, fora dos quais não podem ser dispensadas, sob pena de responsabilidade funcional na forma da lei, a sua efetivação ou as respectivas garantias. CAPÍTULO II Constituição de Crédito Tributário SEÇÃO I Lançamento Art. 142.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 Parágrafo único. A atividade administrativa de lançamento é vinculada e obrigatória, sob pena de responsabilidade funcional. Art. 143. Salvo disposição de lei em contrário, quando o valor tributário esteja expresso em moeda estrangeira, no lançamento far-se-á sua conversão em moeda nacional ao câmbio do dia da ocorrência do fato gerador da obrigação. Art. 144. O lançamento reporta-se à data da ocorrência do fato gerador da obrigação e rege-se pela lei então vigente, ainda que posteriormente modificada ou revogada. § 1º Aplica-se ao lançamento a legislação que, posteriormente à ocorrência do fato gerador da obrigação, tenha instituído novos critérios de apuração ou processos de fiscalização, a mpliado os poderes de investigação das autoridades administrativas, ou outorgado ao crédito maiores garantias ou privilégios, exceto, neste último caso, para o efeito de atribuir responsabilidade tributária a terceiros. § 2º O disposto neste artigo não se aplica aos impostos lançados por períodos certos de tempo, desde que a respectiva lei fixe expressamente a data em que o fato gerador se considera ocorrido. Art. 145. O lançamento regularmente notificado ao sujeito passivo só pode ser alterado em virtude de: I - impugnação do sujeito passivo; II - recurso de ofício; III - iniciativa de ofício da autoridade administrativa, nos casos previstos no artigo 149. Art. 146. A modificação introduzida, de ofício ou em conseqüência de decisão administrativa ou judicial, nos critérios jurídicos adotados pela autoridade administrativa no exercício do lançamento somente pode ser efetivada, em relação a um mesmo sujeito passivo, quanto a fato gerador ocorrido posteriormente à sua introdução. SEÇÃO II Modalidades de Lançamento Art. 147. O lançamento é efetuado com base na declaração do sujeito passivo ou de terceiro, quando um ou outro, na forma da legislação tributária, presta à autoridade administrativa informações sobre matéria de fato, indispensáveis à sua efetivação. § 1º A retificação da declaração por iniciativa do próprio declarante, quando vise a reduzir ou a excluir tributo, só é admissível mediante comprovação do erro em que se funde, e antes de notificado o lançamento. § 2º Os erros contidos na declaração e apuráveis pelo seu exame serão retificados de ofício pela autoridade administrativa a que competir a revisão daquela. Art. 148. Quando o cálculo do tributo tenha por base, ou tem em consideração, o valor ou o preço de bens, direitos, serviços ou atos jurídicos, a autoridade lançadora, mediante processo regular, arbitrará aquele valor ou preço, sempre que sejam omissos o u não mereçam fé as declarações ou os esclarecimentos prestados, ou os documentos expedidos pelo sujeito passivo ou pelo terceiro legalmente obrigado, ressalvada, em caso de contestação, avaliação contraditória, administrativa ou judicial. Art. 149. O lançamento é efetuado e revisto de ofício pela autoridade administrativa nos seguintes casos: I - quando a lei assim o determine; II - quando a declaração não seja prestada, por quem de direito, no prazo e na forma da legislação tributária; III - quando a pessoa legalmente obrigada, embora tenha prestado declaração nos termos do inciso anterior, deixe de atender, no prazo e na forma da legislação tributária, a pedido de esclarecimento formulado pela autoridade administrativa, recuse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2026-06-17T14:17:21.812Z</dcterms:created>
  <dcterms:modified xsi:type="dcterms:W3CDTF">2026-06-17T14:17:21.812Z</dcterms:modified>
</cp:coreProperties>
</file>

<file path=docProps/custom.xml><?xml version="1.0" encoding="utf-8"?>
<Properties xmlns="http://schemas.openxmlformats.org/officeDocument/2006/custom-properties" xmlns:vt="http://schemas.openxmlformats.org/officeDocument/2006/docPropsVTypes"/>
</file>