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r>
        <w:rPr>
          <w:b/>
          <w:bCs/>
        </w:rPr>
        <w:t xml:space="preserve">Recurso: </w:t>
      </w:r>
      <w:r>
        <w:t xml:space="preserve">re .</w:t>
      </w:r>
    </w:p>
    <w:p/>
    <w:p>
      <w:r>
        <w:t xml:space="preserve">07. LIVRO SEGUNDO — Normas Gerais de Direito Tributário
      TÍTULO III - Crédito Tributário
      TÍTULO IV - Administração Tributária</w:t>
      </w:r>
    </w:p>
    <w:p/>
    <w:p>
      <w:pPr>
        <w:pStyle w:val="Heading2"/>
      </w:pPr>
      <w:r>
        <w:rPr>
          <w:b/>
          <w:bCs/>
        </w:rPr>
        <w:t xml:space="preserve">Ementa</w:t>
      </w:r>
    </w:p>
    <w:p>
      <w:r>
        <w:t xml:space="preserve">CAPÍTULO VI Garantias e Privilégios do Crédito Tributário SEÇÃO I Disposições Gerais Art. 183. A enumeração das garantias atribuídas neste Capítulo ao crédito tributário não exclui outras que sejam expressamente previstas em lei, em função da natureza ou das características do tributo a que se refiram. Parágrafo único. A natureza das garantias atribuídas ao crédito tributário não altera a natureza deste nem a da obrigação tributária a que corresponda. Art. 184. Sem prejuízo dos privilégios especiais sobre determinados bens, que sejam previstos em lei, responde pelo pagamento do crédito tributário a totalidade dos bens e das rendas, de qualquer origem ou natureza, do sujeito passivo, seu espólio ou sua massa falida, inclusive os gravados por ônus real ou cláusula de inalienabilidade ou impenhorabilidade, seja qual for a data da constituição do ônus ou da cláusula, excetuados unicamente os bens e rendas que a lei declare absolutamente impenhoráveis. Art. 185. Presume-se fraudulenta a alienação ou oneração de bens ou rendas, ou seu começo, por sujeito passivo em débito para com a Fazenda Pública, por crédito tributário regularmente inscrito como dívida ativa. Parágrafo único. O disposto neste artigo não se aplica na hipótese de terem sido reservados, pelo devedor, bens ou rendas suficientes ao total pagamento da dívida inscrita. (Caput e parágrafo único com redação dada pela LC 118 de 09-02-2005) Redação anterior: "Art. 185. Presume-se fraudulenta a alienação ou oneração de bens ou rendas, ou seu começo, por sujeito passivo em débito para com a Fazenda Pública por crédito tributário regularmente inscrito como dívida ativa em fase de execução. Parágrafo único. O disposto neste artigo não se aplica na hipótese de terem sido reservados pelo devedor bens ou rendas suficientes ao total pagamento da dívida em fase de execução." Art. 185-A. Na hipótese de o devedor tributário, dev idamente citado, não pagar nem apresentar bens à penhora no prazo legal e não forem encontrados bens penhoráveis, o juiz determinará a indisponibilidade de seus bens e direitos, comunicando a decisão, preferencialmente por meio eletrônico, aos órgãos e entidades que promovem registros de transferência de bens, especialmente ao registro público de imóveis e às autoridades supervisoras do mercado bancário e do mercado de capitais, a fim de que, no âmbito de suas atribuições, façam cumprir a ordem judicial. § 1º A indisponibilidade de que trata o caput deste artigo limitar-se-á ao valor total exigível, devendo o juiz determinar o imediato levantamento da indisponibilidade dos bens ou valores que excederem esse limite. § 2º Os órgãos e entidades aos quais se fizer a comunicação de que trata o caput deste artigo enviarão imediatamente ao juízo a relação discriminada dos bens e direitos cuja indisponibilidade houverem promovido. (Caput e parágrafos acrescentados pela LC 118 de 09-02-2005) SEÇÃO II Preferências Art. 186. O crédito tributário prefere a qualquer outro, seja qual for sua natureza ou o tempo de sua constituição, ressalvados os créditos decorrentes da legislação do trabalho ou do acidente de trabalho. Parágrafo único. Na falência: I - o crédito tributário não prefere aos créditos extraconcursais ou às importâncias passíveis de restituição, nos termos da lei falimentar, nem aos créditos com garantia real, no limite do valor do bem gravado; II - a lei poderá estabelecer limites e condições para a preferência dos créditos decorrentes da legislação do trabalho; e III - a multa tributária prefere apenas aos créditos subordinados. (Caput e parágrafo único com redação dada pela LC 118 de 09-02-2005) Redação anterior: "Art. 186. O crédito tributário prefere a qualquer outro, seja qual for a natureza ou o tempo da constituição deste, ressalvados os créditos decorrentes da legislação do trabalho." Art. 187. A cobrança judicial do crédito tributário não é sujeita a concurso de credores ou habilitação em falência, recuperação judicial, concordata, inventário ou arrolamento. (Caput com redação dada pela LC 118 de 09-02-2005) Redação anterior: "Art. 187. A cobrança judicial do crédito tributário não é sujeita a concurso de credores ou habilitação em falência, concordata, inventário ou arrolamento." Parágrafo único. O concurso de preferência somente se verifica entre pessoas jurídicas de direito público, na seguinte ordem: I - União; II - Estados, Distrito Federal e Territórios, conjuntamente e pró rata; III - Municípios, conjuntamente e pró rata. Art. 188. Sã</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2026-06-17T14:11:46.499Z</dcterms:created>
  <dcterms:modified xsi:type="dcterms:W3CDTF">2026-06-17T14:11:46.499Z</dcterms:modified>
</cp:coreProperties>
</file>

<file path=docProps/custom.xml><?xml version="1.0" encoding="utf-8"?>
<Properties xmlns="http://schemas.openxmlformats.org/officeDocument/2006/custom-properties" xmlns:vt="http://schemas.openxmlformats.org/officeDocument/2006/docPropsVTypes"/>
</file>