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DIREITO DE PETIÇÃO</w:t>
      </w:r>
    </w:p>
    <w:p/>
    <w:p>
      <w:r>
        <w:rPr>
          <w:b/>
          <w:bCs/>
        </w:rPr>
        <w:t xml:space="preserve">Recurso: </w:t>
      </w:r>
      <w:r>
        <w:t xml:space="preserve">re -</w:t>
      </w:r>
    </w:p>
    <w:p/>
    <w:p>
      <w:r>
        <w:t xml:space="preserve">LEI COMPLEMENTAR Nº 95 DE 26 DE FEVEREIRO DE 1998 — ALTERA</w:t>
      </w:r>
    </w:p>
    <w:p/>
    <w:p>
      <w:pPr>
        <w:pStyle w:val="Heading2"/>
      </w:pPr>
      <w:r>
        <w:rPr>
          <w:b/>
          <w:bCs/>
        </w:rPr>
        <w:t xml:space="preserve">Ementa</w:t>
      </w:r>
    </w:p>
    <w:p>
      <w:r>
        <w:t xml:space="preserve">LEI COMPLEMENTAR Nº 107, DE 26 DE ABRIL DE 2001 Altera a Lei Complementar nº 95, de 26 de fevereiro de 1998. O PRESIDENTE DA REPÚBLICA Faço saber que o Congresso Nacional decreta e eu sanciono a seguinte Lei Complementar: Art. 1o Os arts. 8o, 9o, 11, 12, 13 e 14 da Lei Complementar no 95, de 26 de fevereiro de 1998, passam a vigorar com as seguintes alterações: "Art. 8o ........................................................... § 1o A contagem do prazo para entrada em vigor das leis que estabeleçam período de vacância far-se-á com a inclusão da data da publicação e do último dia do prazo, entrando em vigor no dia subseqüente à sua consumação integral. § 2o As leis que estabeleçam período de vacância deverão utilizar a cláusula ‘esta lei entra em vigor após decorridos (o número de) dias de sua publicação oficial’ ". (NR) "Art. 9o A cláusula de revogação deverá enumerar, expressamente, as leis ou disposições legais revogadas. Parágrafo único (VETADO)" "Art. 11. ........................................................... ........................................................... II - ........................................................... ........................................................... f) grafar por extenso quaisquer referências a números e percentuais, exceto data, número de lei e nos casos em que houver prejuízo para a compreensão do texto; g) indicar, expressamente o dispositivo objeto de remissão, em vez de usar as expressões ‘anterior’, ‘seguinte’ ou equivalentes; ..........................................................." (NR) "Art. 12. ........................................................... ........................................................... II - mediante revogação parcial; III - ........................................................... a) revogado; b) é vedada, mesmo quando recomendável, qualquer renumeração de artigos e de u nidades superiores ao artigo, referidas no inciso V do art. 10, devendo ser utilizado o mesmo número do artigo ou unidade imediatamente anterior, seguido de letras maiúsculas, em ordem alfabética, tantas quantas forem suficientes para identificar os acréscimos; c) é vedado o aproveitamento do número de dispositivo revogado, vetado, declarado inconstitucional pelo Supremo Tribunal Federal ou de execução suspensa pelo Senado Federal em face de decisão do Supremo Tribunal Federal, devendo a lei alterada manter essa indicação, seguida da expressão ‘revogado’, ‘vetado’, ‘declarado inconstitucional, em controle concentrado, pelo Supremo Tribunal Federal’, ou ‘execução suspensa pelo Senado Federal, na forma do art. 52, X, da Constituição Federal’; d) é admissível a reordenação interna das unidades em que se desdobra o artigo, identificando-se o artigo assim modificado por alteração de redação, supressão ou acréscimo com as letras ‘NR’ maiúsculas, entre parênteses, uma única vez ao seu final, obedecidas, quando for o caso, as prescrições da alínea c. Parágrafo único. O termo ‘dispositivo’ mencionado nesta Lei refere-se a artigos, parágrafos, incisos, alíneas ou itens." (NR) "Art. 13. As leis federais serão reunidas em codificações e consolidações, integradas por volumes contendo matérias conexas ou afins, constituindo em seu todo a Consolidação da Legislação Federal. § 1o A consolidação consistirá na integração de todas as leis pertinentes a determinada matéria num único diploma legal, revogando-se formalmente as leis incorporadas à consolidação, sem modificação do alcance nem interrupção da força normativa dos dispositivos consolidados. § 2o Preservando-se o conteúdo normativo original dos dispositivos consolidados, poderão ser feitas as seguintes alterações nos projetos de lei de consolidação: I - introdução de novas divisões do texto legal base; II - diferente colocação e numeração dos artigos consolidados; III - fusão de disposições repetitivas ou de valor normativo idêntico; IV - atualização da denominação de órgãos e entidades da administração pública; V - atualização de termos antiquados e modos de escrita ultrapassados; VI - atualização do valor de penas pecuniárias, com base em indexação padrão; VII - eliminação de ambigüidades decorrentes do mau uso do vernáculo; VIII - homogeneização terminológica do texto; IX - supressão de dispositivos declarados inconstitucionais pelo Supremo Tribunal Federal, observada, no que couber, a suspensão pelo Senado Federal de execução de dispositivos, na forma do art. 52, X, da Constituição Federal; X - indicação de disposit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2026-07-28T00:22:54.246Z</dcterms:created>
  <dcterms:modified xsi:type="dcterms:W3CDTF">2026-07-28T00:22:54.246Z</dcterms:modified>
</cp:coreProperties>
</file>

<file path=docProps/custom.xml><?xml version="1.0" encoding="utf-8"?>
<Properties xmlns="http://schemas.openxmlformats.org/officeDocument/2006/custom-properties" xmlns:vt="http://schemas.openxmlformats.org/officeDocument/2006/docPropsVTypes"/>
</file>