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ADMINISTRATIVO</w:t>
      </w:r>
    </w:p>
    <w:p>
      <w:r>
        <w:rPr>
          <w:i/>
          <w:iCs/>
          <w:color w:val="666666"/>
        </w:rPr>
        <w:t xml:space="preserve">DIREITO DE PETIÇÃO</w:t>
      </w:r>
    </w:p>
    <w:p/>
    <w:p>
      <w:r>
        <w:rPr>
          <w:b/>
          <w:bCs/>
        </w:rPr>
        <w:t xml:space="preserve">Recurso: </w:t>
      </w:r>
      <w:r>
        <w:t xml:space="preserve">Ap. Cível 23.040</w:t>
      </w:r>
    </w:p>
    <w:p/>
    <w:p>
      <w:r>
        <w:t xml:space="preserve">SE É CABÍVEL A SUA APLICAÇÃO APÓS O TRÂNSITO EM JULGADO DA SENTENÇA DE LIQUIDAÇÃO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É corrente o entendimento de que a correção monetária, que não é pena, mas simples ajustamento dos contratos e das obrigações, pode ser pleiteada na execução, ainda que silenciosa a sentença de conhecimento. E julgados do nosso Tribunal têm aplicado com especialidade a correção monetária nas apurações de haveres em que a parte do sócio dissidente é reputada divida de valor. (Ap. Cível 23.040, Des. BARBOSA MOREIRA, 5ª Câmara Cível; Ag. Instrumento 2322, Des. SALVADOR PINTO, 3ª Câmara Cível; Ap. Cível 8.808, Des. IVÂNIO CAIUBY, Ap. Cível 7005 e Des. PAULO D. GUSMÃO, 8ª Câmara Cível). - Mas a sentença de liquidação fixa definitivamente o objeto e o "quantum" da execução. Se na sentença de condenação algumas verbas são reputadas implícitas, como os juros de mora, ou assim são considerados, em criação pretoriana, a sentença de liquidação é imutável, por força mesmo de, sua natureza e da sua função na mecânica processual. Não é possível ter como ilíquido o que a sentença de liquidação com trânsito em julgado declarou líquido. - Na espécie, o que agravaria a violência aos princípios é a circunstância de que se pretende acrescentar, à sentença, os efeitos de ato posterior ao seu trânsito em julgado. O exequente pode ter direito a indenização pelo ato ilícito que retardou a execução, mas através de ação autônoma, em que as perdas e danos poderão abranger outras verbas, além da correção monetária. - Não nessa execução em que a sentença de liquidação tornou imutável a condenação. Se a correção já estivesse computada na sentença de liquidação, seria possível atualizar o cálculo, até o final pagamento, porque a elaboração do cálculo não estancou a inflação e presumir-se-ia que a conta era restrita aos dias já decorridos. Mas a pretensão de introduzir um elemento novo importaria em fazer ilí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incabível a correção monetária na execução depois de transitada em julgado a sentença de liquidação.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2026-07-28T00:42:07.665Z</dcterms:created>
  <dcterms:modified xsi:type="dcterms:W3CDTF">2026-07-28T00:42:07.665Z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