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PROCESSO ADMINISTRATIVO</w:t>
      </w:r>
    </w:p>
    <w:p>
      <w:r>
        <w:rPr>
          <w:i/>
          <w:iCs/>
          <w:color w:val="666666"/>
        </w:rPr>
        <w:t xml:space="preserve">DIREITO DE PETIÇÃO</w:t>
      </w:r>
    </w:p>
    <w:p/>
    <w:p>
      <w:r>
        <w:rPr>
          <w:b/>
          <w:bCs/>
        </w:rPr>
        <w:t xml:space="preserve">Julgado em: </w:t>
      </w:r>
      <w:r>
        <w:t xml:space="preserve">21/10/1981</w:t>
      </w:r>
    </w:p>
    <w:p/>
    <w:p>
      <w:r>
        <w:t xml:space="preserve">PROCESSO PENDENTE — APLICAÇÃO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Entendo, "data venia", ser acadêmica a discussão sobre se somente é devida correção monetária quando se trata de dívida de valor, não incidindo quando a dívida é pecuniária, eis que, tanto na primeira como na segunda hipótese há sempre a conversão em dinheiro. - Não fossem decisivos os argumentos acima, atualmente a questão está superada pela Lei 6.899, de 08-04-81, que determina a incidência da correção monetária sobre qualquer débito resultante de decisão judicial e a partir da sua vigência. Outrossim, é explícita esta Lei quanto à sua aplicação aos processos pendentes. - Harmoniza-se com a Lei acima a de nº 5.670, de 02-07-1971, dispondo o seu art. 1º que: "O cálculo da correção monetária não recairá, em qualquer caso, sobre período anterior à data em que tenha entrado em vigor a lei que a instituiu". e o seu art. 2º, que: "se aplica aos processos pendentes, inclusive às liquidações de sentenças, ainda não transitadas em julgado, que fixem o valor do débito ou da indenização", que é justamente a espécie destes autos. - Ante a ausência da regulamentação da primeira Lei, aplicável é o art. 4º da Lei de Introdução ao Código Civil, devendo o índice ser o das O.R.T.N. - Acolho os embargos para deferir a correção monetária sobre o valor fixado na decisão proferida nos embargos de declaração, a partir de 09-04-1981, data em que entrou em vigor a Lei 6.899, de 1981. Julgado em 22-10-1981 Revista de Jurisprudência. Arquivo dos Tribunais de Alçada do Rio de Janeiro, 1º Semestre, 1982. Vol. 30 - Pág. 97 EMFOR 421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Aplica-se a correção monetária aos processos pendentes, inclusive às liquidações de sentenças, a partir da vigência da Lei 6.899, de 8 de abril de 1981 (Lei 5.670, de 02-07-71).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2026-10-26T04:40:50.771Z</dcterms:created>
  <dcterms:modified xsi:type="dcterms:W3CDTF">2026-10-26T04:40:50.771Z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