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ADMINISTRATIVO</w:t>
      </w:r>
    </w:p>
    <w:p>
      <w:r>
        <w:rPr>
          <w:i/>
          <w:iCs/>
          <w:color w:val="666666"/>
        </w:rPr>
        <w:t xml:space="preserve">DIREITO DE PETIÇÃO</w:t>
      </w:r>
    </w:p>
    <w:p/>
    <w:p>
      <w:r>
        <w:rPr>
          <w:b/>
          <w:bCs/>
        </w:rPr>
        <w:t xml:space="preserve">Julgado em: </w:t>
      </w:r>
      <w:r>
        <w:t xml:space="preserve">29/09/1981</w:t>
      </w:r>
    </w:p>
    <w:p/>
    <w:p>
      <w:r>
        <w:t xml:space="preserve">INSTITUIÇÃO DE ASSISTÊNCIA SOCIAL — IMÓVEIS DESTINADOS À RENDA - SE É ADMISSÍVEL SUA EXCLUSÃO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matéria de que se cogita é regulada, em primeiro plano, pelo art. 19, inciso III, alínea "c" da Constituição do Brasil, "verbis": "Art. 19 - É vedado à União, aos Estados, ao Distrito Federal e aos Municípios: III - instituir imposto sobre: c) o patrimônio, a renda, ou os serviços dos partidos políticos e de instituições de educação ou de assistência social, observados os requisitos da lei." - É inegável que a ora embargante é instituição de assistência social, aliás fato incontroverso. - Portanto, goza ela de imunidade tributária relativamente a seu patrimônio. - A parte final do dispositivo da Constituição determina a observância dos requisitos da lei. - Entretanto, o diploma regulamentador como é de elementar conhecimento não pode restringir a amplitude da norma de hierarquia superior. - Assim também, é defeso à administração, como intérprete e aplicadora da norma, distinguir onde ela não distingue. - Essa é uma conhecida regra de hermenêutica. - O art. 14 do Código Tributário Nacional realmente não restringe a amplitude da regra constitucional, como não poderia fazê-lo. - Limita-se o dispositivo da lei ordinária a estabelecer requisitos para que as entidades beneficiadas pela imunidade tributária possam efetivamente dela gozar. - A restrição expressa no v. acórdão recorrido, "data venia", não se encontra na lei. - Com efeito, se lê no arresto, ao menos em sua ementa, que a imunidade fiscal não abrange imóvel não ligado às finalidades específicas da entidade. - No texto, entretanto, se fez a citação correta do § 2º do art. 14 do Código Tributário Nacional, que alude aos serviços diretamente relacionados com os objetivos institucionais das entidades. - Ora aqui não se cogita de serviços, mas de imóvel. - Sabe-se que o imposto predial grava diretamente o imóvel, esteja ele alugado ou não. - Assim sendo, a vedação constitucional de instituição de imposto sobre o patrimônio da embargante não está sujeito a qualquer restrição, pouco importando que o imóvel se destine à renda. - ............................................. - Por estes fundamentos ..., os embargos são acolhidos. Julgado em 30-09-1981 Revista de Jurisprudência - Arquivos dos Tribunais de Alçada do Rio de Janeiro, 1º Semestre, 1982 - nº 30 - Pág. 95 EMFOR 421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imunidade tributária, de que goza a instituição de assistência social, tem por objetivo seu patrimônio, renda ou serviços, de acordo com a norma constitucional, sendo vedado à administração discriminar, para subtrair do beneficio os imóveis destinados à renda.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2026-07-28T00:34:01.521Z</dcterms:created>
  <dcterms:modified xsi:type="dcterms:W3CDTF">2026-07-28T00:34:01.521Z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