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CRIME CONTRA A ECONOMIA POPULAR</w:t>
      </w:r>
    </w:p>
    <w:p>
      <w:r>
        <w:rPr>
          <w:i/>
          <w:iCs/>
          <w:color w:val="666666"/>
        </w:rPr>
        <w:t xml:space="preserve">MERCADORIA IMPRÓPRIA PARA CONSUMO</w:t>
      </w:r>
    </w:p>
    <w:p/>
    <w:p>
      <w:r>
        <w:rPr>
          <w:b/>
          <w:bCs/>
        </w:rPr>
        <w:t xml:space="preserve">Recurso: </w:t>
      </w:r>
      <w:r>
        <w:t xml:space="preserve">Ap. Cível 31.189</w:t>
      </w:r>
    </w:p>
    <w:p>
      <w:r>
        <w:rPr>
          <w:b/>
          <w:bCs/>
        </w:rPr>
        <w:t xml:space="preserve">Julgado em: </w:t>
      </w:r>
      <w:r>
        <w:t xml:space="preserve">09/03/1980</w:t>
      </w:r>
    </w:p>
    <w:p/>
    <w:p>
      <w:r>
        <w:t xml:space="preserve">CUMULAÇÃO — LEGITIMIDADE DE "AD CAUSAM" PASSIVA - ESPÓLIO E HERDEIROS NECESSÁRIOS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É de inteira procedência o judicioso pronunciamento do eminente Desembargador CORREIA DE AMORIM, relator da Ap. Cível nº 31.189, de Belo Horizonte, quando transcreve o ensinamento do Prof. ARNOLDO DE MEDEIROS, "verbis": "Falecido o pai, cabe ação contra seus herdeiros, entendendo a doutrina dominante que deve esta expressão ser compreendida no mais amplo sentido, abrangendo os sucessores a título universal, legítimos e testamentários, e até os legatários quando o "de cujus" houver distribuído em legados a herança toda. - De nossa parte, quanto aos herdeiros, embora a questão não seja sem controvérsia, pensamos que, na verdade não é possível qualquer restrição não autorizada pela lei quanto à necessidade de serem citados todos, qualquer que seja, a classe a que pertençam ("Investigação de Paternidade" pág. 300). Também a jurisprudência tem considerado necessária a citação dos herdeiros ("Rev. dos Tribunais" vol. 330, pág. 281)". - De tudo isso se conclui que os herdeiros necessários não foram citados para a ação. - Eis porque dou provimento ao recurso, para, cassando a decisão recorrida, julgar o autor carecedor da ação proposta, invertendo os ônus da sucumbência Julgado em 10-03-1980 Jurisprudência Mineira. Janeiro a Março. 1980 - Vol. 77 - Pág. 73 EMFOR 421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Na ação de investigação de paternidade cumulada com petição de herança, o espólio do investigado, mesmo representado pela viúva inventariante, não detém a legitimidade "ad causam" passiva para contestar dita ação devendo ser citados para a mesma todos os herdeiros necessários.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Mineira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2026-10-26T03:48:17.666Z</dcterms:created>
  <dcterms:modified xsi:type="dcterms:W3CDTF">2026-10-26T03:48:17.666Z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