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Recurso: </w:t>
      </w:r>
      <w:r>
        <w:t xml:space="preserve">recurso extraordinário .</w:t>
      </w:r>
    </w:p>
    <w:p>
      <w:r>
        <w:rPr>
          <w:b/>
          <w:bCs/>
        </w:rPr>
        <w:t xml:space="preserve">Julgado em: </w:t>
      </w:r>
      <w:r>
        <w:t xml:space="preserve">06/08/1981</w:t>
      </w:r>
    </w:p>
    <w:p/>
    <w:p>
      <w:r>
        <w:t xml:space="preserve">OMISSÃO DO PROCESSO EM VIRTUDE DE ADIAMENTO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Nossa divergência com a douta Procuradoria Geral da República encontra-se no conhecimento do recurso com base na letra a. A lei é expressa no sentido da necessidade da pauta designar o dia do julgamento do recurso, e a jurisprudência deste colendo Supremo Tribunal Federal é pacifica no sentido de que esta omissão acarreta a nulidade do julgamento. - O fato de estar presente o advogado, na sessão em que foi adiado o julgamento, não impunha seu comparecimento à sessão seguinte, sem que o feito figurasse na pauta. - Por estes motivos, conheço do recurso com fundamento na letra a e lhe dou provimento para, anulado o acórdão recorrido, outro julgamento seja proferido pelo Tribunal "a quo", obedecidas as normas legais, e como entender de direito, quanto ao mérito. Julgado em 07-08-1981 DO VOTO VENCIDO DO MINISTRO SOARES NUÑOZ - Os recorrentes alegam nulidade do julgamento por falta de publicação da respectiva pauta, o que teria impedido que seu advogado apresentasse sustentação oral, donde a vulneração dos arts. 236. § 1º e 247 do Código de Processo Civil e a divergência com a Súmula 431 (*) e com outros julgados do Supremo Tribunal Federal. - No que concerne à primeira questão, falta ao recurso extraordinário, como acentua o despacho proferido pelo Presidente do Tribunal de Justiça do Estado, o requisito do prequestionamento. Objetar-se-á que a questão teria passado desapercebida por ocasião da sessão do julgamento em face da ausência de prévia intimação dos ora recorrentes para a mencionada sessão. - A objeção, todavia, improcede. O processo foi regularmente posto em pauta para a sessão do dia 08-08-1978. Na véspera, os ora recorridos pediram o adiamento do julgamento, por coincidir aquela data c om outros compromissos dos seus advogados. O adiamento foi deferido pelo Relator... Não importou ele porém, a retirada do processo de pauta. Nela permaneceu, como é aliás de praxe, inclusive no Supremo Tribunal Federal, de sorte que o julgamento realizado na sessão seguinte não padece de nulidade. - A matéria referente a adiamento do julgamento sem retirada da pauta é de natureza regimental, e os recorrentes não indicaram o dispositivo do Regimento Interno do Tribunal local que teria sido vulnerado, hipótese esta que, de resto, não daria ensejo ao recurso extraordinário em face da Súmula 280 (**)... Revista Trimestral de Jurisprudência. Março, 1983 - Pág. 1.129 - Vol. 103 (*) "É nulo o julgamento de recurso criminal, na segunda instância, sem prévia intimação, ou publicação da pauta, salvo em "habeas corpus". ("EMENTÁRIO FORENSE", nº 191, t. RECURSO, st. JULGAMENTO, sessão criminal). (**) "Por ofensa a direito local não cabe recurso extraordinário." ("EMENTÁRIO FORENSE", nº 195, t. RECURSO EXTRAORDINÁRIO, st. DIREITO LOCAL).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Omitido na pauta o processo, é nulo seu julgamento, mesmo que tenha o advogado estado presente à sessão em que, a pedido da parte contrária, ocorreu o adiamento.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2026-10-26T03:52:50.607Z</dcterms:created>
  <dcterms:modified xsi:type="dcterms:W3CDTF">2026-10-26T03:52:50.607Z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