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68.793</w:t>
      </w:r>
    </w:p>
    <w:p>
      <w:r>
        <w:rPr>
          <w:b/>
          <w:bCs/>
        </w:rPr>
        <w:t xml:space="preserve">Julgado em: </w:t>
      </w:r>
      <w:r>
        <w:t xml:space="preserve">13/09/1982</w:t>
      </w:r>
    </w:p>
    <w:p/>
    <w:p>
      <w:r>
        <w:t xml:space="preserve">EXISTÊNCIA DE RECURSO ESPECÍFICO OU CORREIÇÃO — QUANDO CABE 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da Corte, sabe-se, tem abrandado a rigidez da Súmula 267, que determinava o não cabimento do "mandamus" contra ato judicial passível de recurso ou correição, para admiti-lo, desde que do ato resultasse dano irreparável, devidamente demonstrado. Nesse sentido, inumeráveis arrestos, bastando citar, como exemplo, o do RE 68.793 - Relator o Exmo. Ministro ANTONIO NEDER (RTJ 85/120), no qual se discute o tema e se indicam outras decisões na mesma linha. - Mais recentemente, v.g. RE 90.653 (Relator: Exmo. Ministro DECIO MIRANDA - RTJ 95/339); RE 86.799 (Relator Exmo. Ministro THOMPSON FLORES - RTJ 94/274); RE 85.355 (idem RTJ 91/181): RE 93.393 (Relator Exmo. Ministro CORDEIRO GUERRA - RTJ 97/916). Julgado em 14-09-1982 Revista Trimestral de Jurisprudência. Janeiro, 1983 - Vol. 103 - Pág. 215 (*) "Não cabe mandado de segurança contra ato judicial passível de recurso ou correição." ("EMENTÁRIO FORENSE", nº 195).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da Corte tem abrandado a rigidez da Súmula 267, para admitir mandado de segurança contra ato judicial passível de recurso, desde que dele resulte dano irreparável, devidamente demonstrado.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2026-10-26T02:43:36.161Z</dcterms:created>
  <dcterms:modified xsi:type="dcterms:W3CDTF">2026-10-26T02:43:36.161Z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