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ECONOMIA POPULAR</w:t>
      </w:r>
    </w:p>
    <w:p>
      <w:r>
        <w:rPr>
          <w:i/>
          <w:iCs/>
          <w:color w:val="666666"/>
        </w:rPr>
        <w:t xml:space="preserve">MERCADORIA IMPRÓPRIA PARA CONSUMO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Julgado em: </w:t>
      </w:r>
      <w:r>
        <w:t xml:space="preserve">24/08/1982</w:t>
      </w:r>
    </w:p>
    <w:p/>
    <w:p>
      <w:r>
        <w:t xml:space="preserve">ATO DE LEI FEDERAL — SE VIOLA O PRINCÍPIO DE AUTONOMIA MUNICIPAL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Cumpre, apenas, examinar se a Lei nº 6.091, de 15 de agosto de 1974, é uma lei temporária, e se tem aplicação às eleições municipais, pois tais são os temas em debate. - Estou em que a lei em apreço, embora promulgada ao tempo das eleições então à vista, não é uma lei de caráter transitório ou especifico para certa e determinada eleição, em primeiro lugar porque visa a lisura dos pleitos eleitorais, e o afastamento da interferência do poder econômico e o desvio ou abuso do poder de autoridade, em desfavor da liberdade do voto, o que tem caráter permanente em qualquer tipo de eleições, federais, estaduais ou municipais. Por igual, não é possível afastar a sua incidência do âmbito municipal, pois, o que é vedado é o ato da nomeação, qualquer que seja a autoridade que o pratique, e a circunscrição em que se verifique. O termo inicial e o final, é que têm como ponto de referência a data das eleições parlamentares, e o fim do mandado do Governador, tanto assim que nulas são as nomeações feitas nesse período, "administração direta e nas autarquias, empresas públicas e sociedade de economia mista dos Estados e Municípios, salvo os cargos em comissão e da magistratura, do Ministério Público, e, com aprovação do respectivo órgão legislativo, dos tribunais de contas, e os aprovados em concursos públicos até a data da publicação desta lei". - Ora, quem nomeia, no âmbito municipal, é o Prefeito e, portanto, se a lei prevê a nulidade das nomeações por ele feitas, evidentemente é porque abrange, também, o período das eleições municipais. - Por outro lado, a ressalva final do art. 13, ora em apreço, serve - para demonstrar o caráter permanente das proibições moralizadoras de nossos costumes políticos. - No mesmo sentido julgou a Egrégia 1ª Turma, em acórdão relatado pelo eminente Ministro CUNHA PEIXOTO, assim emen tado, em 04-05-79: "Mandado de Segurança. Invalidade das nomeações feitas pelo Prefeito Municipal no período de noventa dias antes das eleições municipais. A Lei nº 6.091. de 15-08-74, é de caráter permanente e tem aplicação, também, às eleições municipais. RE conhecido e provido". - Implicitamente se reconheceu, portanto, a constitucionalidade do art. 13 da Lei nº 6.091/74. - E, realmente, não padece ela do vício arguido, como bem observa o parecer da douta Procuradoria Geral da República: "7. A alegada inconstitucionalidade inexiste, ainda, em face do art. 108 da Constituição, "verbis": "O disposto nesta Seção aplica-se aos funcionários dos três Poderes da União e aos funcionários, em geral, dos Estados, do Distrito Federal, dos Territórios e dos Municípios", e, ao propósito, outro não é o entendimento de HELY LOPES MEIRELLES, "Direito Administrativo Brasileiro", 6ª Ed., pág. 423 e segs. referentemente à abrangência das normas constitucionais em questão, art. 108 e 109, II, III, e o sujeição dos Estados e Municípios à lei federal prevista pelo "caput" do mencionado art. 109. Aliás, ao contrário do pretendido pelos recorrentes, com a invocação da Emenda Constitucional nº 15/65, que possui dispositivos idênticos ao constante do art. 13 da Lei 6.091/74, temos que a matéria em causa justamente não mais necessita vir expressa na Constituição, pois que, esta atualmente, atribui à lei federal de iniciativa exclusiva de Presidente da República, a definição quanto à forma e as condições de provimento dos cargos públicos, dispositivo esse de ordem genérica, como salientado anteriormente, aplicável aos Estados e municípios porque a Constituição assim o diz"... - Por outro lado, não sendo estáveis os recorrentes, por terem sido providos nos cargos em período proibido por lei, não há que se falar em ofensa aos arts. 100 e 105, II, da Constituição Federal, nenhuma garantia lhes assistindo quanto à realização de inquérito administrativo em que lhes assegurem ampla defesa. Isso porque, ato administrativo nulo não gera direito algum, podendo a administração proclamar a sua nulidade de oficio, como reza a Súmula 473 (*). - Outrossim, os acórdãos trazidos a confronto não têm aplicação à espécie, pois não levam em conta a circunstância relevante de terem sido as nomeações infringentes de lei, Súmula 291 (**). - Por esses motivos, não conheço do recurso. Julgado em 25-08-1982 Revista Trimestral de Jurisprudência - Janeiro, 1983 - Vol. 103 - Pág. 224 (*) "A administração pode anular seus próprios atos, quando eivados de vícios que os tornam ilegais, porque deles não se originam direitos; ou revogá-los, por motivo de conveniência ou opo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viola o princípio da autonomia municipal o art. 13 da Lei 6.091/74.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2026-07-28T00:51:04.352Z</dcterms:created>
  <dcterms:modified xsi:type="dcterms:W3CDTF">2026-07-28T00:51:04.352Z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