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Julgado em: </w:t>
      </w:r>
      <w:r>
        <w:t xml:space="preserve">23/05/1983</w:t>
      </w:r>
    </w:p>
    <w:p/>
    <w:p>
      <w:r>
        <w:t xml:space="preserve">DESEJO DOS HERDEIROS DE MANTÊ-LO EM NOME DO ESPÓLIO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Fazenda quer impor que o telefone passe a pertencer a um dos herdeiros. Por que? - Os interessados não querem atribui-lo a qualquer deles mas mantê-lo "pro indiviso". A portaria citada não impõe que tal ocorra pois, na definição do usuário e assinante, cabe, perfeitamente, a posição do Espólio. O telefone pode ser transferido para o Espólio do "de cujus", a fim de atender à pretensão dos interessados, que não fere a citada portaria. - Ante o exposto, dá-se provimento ao recurso, a fim de que o ilustre Dr. Juiz julgue por sentença a partilha já esboçada, afastando a exigência, "data venia", insustentável. Julgado em 24-05-1983 Arquivo do Ementário Forense, TJ/1.174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uso do telefone, por tratar-se de bem "pro indiviso", concordando todos os interessados, pode prosseguir em nome do Espólio.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2026-07-27T23:42:43.384Z</dcterms:created>
  <dcterms:modified xsi:type="dcterms:W3CDTF">2026-07-27T23:42:43.384Z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