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ECONOMIA POPULAR</w:t>
      </w:r>
    </w:p>
    <w:p>
      <w:r>
        <w:rPr>
          <w:i/>
          <w:iCs/>
          <w:color w:val="666666"/>
        </w:rPr>
        <w:t xml:space="preserve">MERCADORIA IMPRÓPRIA PARA CONSUMO</w:t>
      </w:r>
    </w:p>
    <w:p/>
    <w:p>
      <w:r>
        <w:rPr>
          <w:b/>
          <w:bCs/>
        </w:rPr>
        <w:t xml:space="preserve">Julgado em: </w:t>
      </w:r>
      <w:r>
        <w:t xml:space="preserve">31/08/1983</w:t>
      </w:r>
    </w:p>
    <w:p/>
    <w:p>
      <w:r>
        <w:t xml:space="preserve">COAÇÃO — TEMOR REVERENCIAL -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mãe da autora declarou... que se mataria se o casamento não se realizasse, porque todos os convites foram expedidos, salão, igreja e "buffet" contratados, "o que causaria muita vergonha e escândalo perante os parentes e vizinhos". Com esse depoimento coincidem os das testemunhas. A autora, após haver rompido o noivado reatou-o e contraiu as núpcias. E o casamento perdurou por seis meses, findos os quais ocorreu a separação de fato. Não há filhos do casal e o marido não contestou a ação. - A autora era moça recatada, não saía de casa sozinha à noite, voltava com o namorado antes das vinte e duas horas, nem tinha o hábito de sair com colegas. Não teve outro namorado, nem atividade sexual pré-matrimonial ... O fato de haver namorado durante cinco anos e noivar quase dois, associado àqueles outros fatos, revela a imaturidade e inexperiência por parte da autora, agravada pela sua idade menor (casou-se aos vinte anos). As testemunhas ... revelam que a mãe e a autora discutiam e se desentendiam acerca da realização do casamento. Filha única ... e habituada a obedecer à mãe (só quando rompeu o noivado é que se rebelou contra ela) foi constrangida a manifestar vontade que não tinha - já antes de casar, afirmara que não desejava matrimoniar-se porque não gostava do noivo ... A ameaça materna associada à reação dos vizinhos e parentes, diante do rompimento, quando tudo se arrumava para a cerimônia nupcial, coagiram a autora à realização de um ato que não queria e cujos resultados não se fizeram esperar - a pronta separação. - Tal como refere CLÓVIS BEVILÁCQUA, no comentário ao art. 100 do Código Civil, "por temor reverencial entende-se o receio de desgostar o pai, a mãe ou outras pessoas, a quem se deve obediência e respeito. Não sendo acompanhado de ameaças e violências, nem assumindo a forma de força moral irresistível, é influência incapaz de viciar o ato". Ora no caso vertente, o temor reverencial configura a coação e vicia o ato, por isso que acompanhado de ameaça. - Decreta-se a nulidade do casamento, proceda-se à partilha dos bens e averbe-se a dissolução do vínculo no Registro Civil (art. 100 da Lei nº 6.015). Julgado em 01-09-1983 Arquivo do EMFOR, TJ/1.185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 a coação, apta a anular o casamento, o temor reverencial acompanhado de ameaça.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2026-07-28T02:35:48.153Z</dcterms:created>
  <dcterms:modified xsi:type="dcterms:W3CDTF">2026-07-28T02:35:48.153Z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