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>
      <w:r>
        <w:rPr>
          <w:b/>
          <w:bCs/>
        </w:rPr>
        <w:t xml:space="preserve">Julgado em: </w:t>
      </w:r>
      <w:r>
        <w:t xml:space="preserve">09/05/1983</w:t>
      </w:r>
    </w:p>
    <w:p/>
    <w:p>
      <w:r>
        <w:t xml:space="preserve">APLICAÇÃO DESDE QUE MAIS FAVORÁVEL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espécie, o direito ao beneficio acidentário a que o obreiro faz jus, ainda não havia sido apreciado judicialmente e quando isso ocorre, manda a melhor doutrina e jurisprudência que o judiciário, reconhecendo o direito, aplique a norma jurídica que melhor atenda aos interesses do trabalhador. "Na aplicação da lei acidentária, lei social de ordem pública examina-se não só o fato complexo, seja, aquele que se protrai à vigência da lei nova, como o melhor favor ao trabalhador, com atenção as suas finalidades de caráter social. A lei acidentária, de ordem pública que é, não retroage se cuida de prejudicar o trabalhador, mas, se ocorre benefício, incide desde logo. Sentença revista e reformada, em parte, com a aplicação da lei nova e apelação prejudicada" (Julgados do TARS, vol. 35, pág. 411). - .................................................................. - NEGADO PROVIMENTO AO RECURSO. Julgado em 10-05-1983 Jurisprudência Catarinense. 2º Trimestre, 1983 - Nº XL - Pág. 195 EMFOR 423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a moléstia (pneumoconiose) de que se queixa o obreiro fique comprovada através de perícia médico-judicial, já na vigência da lei de acidentes (no caso a Lei nº 6.367/76), faz jus o acidentado ao auxílio-acidente aplicando-se a norma jurídica por ser mais vantajosa ao operário tendo em vista o seu objetivo social, mesmo que a moléstia tenha sido contraída no período em que vigia o pergaminho infortunístico anterior.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2026-09-10T22:12:21.776Z</dcterms:created>
  <dcterms:modified xsi:type="dcterms:W3CDTF">2026-09-10T22:12:21.776Z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