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20/12/1982</w:t>
      </w:r>
    </w:p>
    <w:p/>
    <w:p>
      <w:r>
        <w:t xml:space="preserve">CONTRADIÇÃO DE JULGAMENTOS — CONDIÇÃO ÚNICA PARA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curso ação renovatória de contrato de locação, no Juízo da 16ª Vara Cível, o locador promoveu a cobrança pela via de execução, distribuída à 40ª Vara Cível, da diferença de aluguéis de que se diz credor, com base no contrato. - A agravante excepcionou o Juízo da 40ª Vara Cível, averbando-o de incompetente, uma vez que, em curso a ação renovatória, no Juízo desta é que deveria ser aforada a execução. - A decisão rejeitou a exceção, e a nosso ver o fez com acerto. - A execução por aluguéis nada tem a ver com a ação renovatória, inexistindo possibilidade de declarações contraditórias, se uma e outra forem solucionadas separadamente. - A execução, como diz a decisão, visa a cobrança de locativos objeto do contrato, matéria totalmente estranha à ação renovatória. Julgado em 21-12-1982 Arquivo do Ementário Forense, TA/437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conexão, que fundamenta a reunião de processos para decisão simultânea, é somente aquela da qual possa decorrer contradição de julgamentos. - Inexiste tal conexão entre ação renovatória e cobrança de aluguéis com base no contrato objeto da renovação.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2026-09-10T23:12:12.779Z</dcterms:created>
  <dcterms:modified xsi:type="dcterms:W3CDTF">2026-09-10T23:12:12.779Z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