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OUTORGA DE ESCRITURA</w:t>
      </w:r>
    </w:p>
    <w:p/>
    <w:p>
      <w:r>
        <w:rPr>
          <w:b/>
          <w:bCs/>
        </w:rPr>
        <w:t xml:space="preserve">Julgado em: </w:t>
      </w:r>
      <w:r>
        <w:t xml:space="preserve">01/03/1983</w:t>
      </w:r>
    </w:p>
    <w:p/>
    <w:p>
      <w:r>
        <w:t xml:space="preserve">DESPEJO E CONSIGNATÓRIA — QUAL O JUÍZO A SER CONSIDERADO QUE DESPACHOU EM PRIMEIRO LUGAR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Ação de despejo, por falta de pagamento, na 4ª Vara Cível da Capital, despachada positivamente a 11-06-81. - Consignação em pagamento, entre as mesmas partes, em posição inversa, à 22ª Vara, hoje 44ª Vara Cível, despachada administrativamente a 9-6-81; "Cite-se" a 12-6-81. - Desta síntese, resulta: 1º - o Juiz a despachar primeiro foi o da 22ª Vara Cível, hoje 44ª, em 9-6-81 (consignatória); o da 4ª Vara (despejo) fê-lo a 11-6-81. 2ª - O despacho positivo mais antigo foi o da 4ª Vara: "Cite-se" é de 11-6-81. - Bem se sabe que poderiam ser vários os critérios de dirimir competência nos conflitos entre Juizes de igual competência: a data do pagamento, da taxa judiciária, a data de distribuição da causa, a data do despacho que recebe a causa, o data do despacho que manda citar, a data da citação, etc. - O Código de 1939 adotou o da citação inicial válida (art. 166, I), no que foi acompanhado para art. 219, do atual. - Porém, quando o conflito se dá entre Juízes de igual competência, da mesma Comarca, criou o Código de 1973 a regra do art. 106: "Art. 106 - Correndo em separado ações conexas perante Juízes que têm a mesma competência territorial, considera-se provento aquele que despachou em primeiro lugar". - Qual despacho é de ser considerado: o que recebeu a causa se a mandou para o contador? Ou o que, tomando conhecimento do feito e apreciando os requisitos do art. 282, determinou a citação (art. 285)? - Evidentemente que este último despacho é que conheceu da causa, pois o outro dela não conheceu limitando-se a uma providência administrativa; da economia interna do Juízo. - Confira-se a propósito o parecer de AGRÍCOLA BARBI: "Conteúdo do despacho referido no art. 106 - A expressão despachar, em primeiro lugar, deve ser entendida como significando o despacho que ordenou a citação. Um simples despacho mandado distribuir a inicial, ou mandando modificá-la, ou instruí-la com documentos, ou com prova de pagamento de taxa judiciária não pode ser considerado despacho para os efeitos do artigo. Só o que manda citar, porque este já tem em si uma manifestação positiva de regularidade inicial da demanda" (In Comentários ao CPC Vol. I, Tomo II). - Assim sendo, competente é o Juízo da 4ª Vara Cível. Julgado em 02-03-1983 Arquivo do Ementário Forense, TA/434 EMFOR 423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Despachar em primeiro lugar equivale a deferir a inicial ou indeferi-la, apreciando os requisitos do CPC, art. 282. em obediência à norma do CPC, art. 285.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2026-09-10T23:20:46.713Z</dcterms:created>
  <dcterms:modified xsi:type="dcterms:W3CDTF">2026-09-10T23:20:46.713Z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