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19/05/1982</w:t>
      </w:r>
    </w:p>
    <w:p/>
    <w:p>
      <w:r>
        <w:t xml:space="preserve">CLASSIFICAÇÃO — MATÉRIA ESPECÍFICA DE LEI COMPLEMENTAR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 razão o recorrente. - Esta Corte já firmou o entendimento de que o CTN é lei complementar, e, consequentemente, só pode ser modificado posteriormente à constituição de 1967, por lei complementar, observado o processo legislativo a ela concernente. - Ora, no caso, os artigos 29 e 32 do Código Tributário Nacional estabelecem o critério da localização como decisivo para a caracterização do imóvel rural ou urbano, para fins tributários. - Essas normas, sem dúvida alguma, dizem respeito a princípios gerais de direito tributário, até porque são indispensáveis para prevenir conflitos de competência entre a União Federal, a que cabe instituir imposto sobre propriedade rural, e os Municípios, a que compete a instituição do imposto sobre propriedade urbana. - Em consequência, legislação posterior à Constituição de 1967 que tem por fim modificar esse critério para efeitos tributários terá de ser lei complementar, e não - como sucede com a Lei nº 5.868/72 - Lei ordinária. - Em assim sendo, não podia o artigo 6º, e seu parágrafo único, da referida Lei nº 5.868/72 modificar, para fins tributários, o critério - que é o da localização - estabelecido pelos artigos 29 e 32 do CTN para a caracterização rural ou urbana do imóvel. - Ao faze-lo, violou o disposto no § 1º do artigo 18 da Constituição Federal, o qual reservou à lei complementar o estabelecimento de normas gerais de direito tributário. - É, pois inconstitucional o citado artigo, por haver invadido área - a da legislação complementar sobre princípios gerais de direito tributário - reservada a lei complementar. - Continua, assim, em vigor o critério estabelecido pelos artigos 29 e 32 do CTN para a distinção, com base na localização, entre imóvel rural e urbano. - Em face do exposto, conheço do presente recurso pelas letras a e d do inciso III do artigo 119 da Constituição Federal, e lhe dou provimento para julgar procedentes os embargos do devedor, condenada a recorrida nas custas e em honorários de advogado que fixo em 20% do valor atribuído à causa. Declaro outrossim, inconstitucional o artigo 6º e seu parágrafo único da Lei Federal nº 5.868, de 12 de dezembro de 1972. Julgado em 20-05-1982 Revista Trimestral de Jurisprudência. Julho, 1983 - Vol. 105 - Pág. 194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fixação do imposto predial para a caracterização do imóvel como rural ou como urbano, para fins tributários, é princípio geral de direito tributário, e, portanto só pode ser estabelecido por lei complementar.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2026-06-17T14:13:40.757Z</dcterms:created>
  <dcterms:modified xsi:type="dcterms:W3CDTF">2026-06-17T14:13:40.757Z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