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OUTORGA DE ESCRITURA</w:t>
      </w:r>
    </w:p>
    <w:p/>
    <w:p>
      <w:r>
        <w:rPr>
          <w:b/>
          <w:bCs/>
        </w:rPr>
        <w:t xml:space="preserve">Recurso: </w:t>
      </w:r>
      <w:r>
        <w:t xml:space="preserve">agravo de instrumento ..</w:t>
      </w:r>
    </w:p>
    <w:p>
      <w:r>
        <w:rPr>
          <w:b/>
          <w:bCs/>
        </w:rPr>
        <w:t xml:space="preserve">Julgado em: </w:t>
      </w:r>
      <w:r>
        <w:t xml:space="preserve">06/12/1982</w:t>
      </w:r>
    </w:p>
    <w:p/>
    <w:p>
      <w:r>
        <w:t xml:space="preserve">DESPESA DESTA — QUANDO PODE SER EVITADA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Adotamos para decidir a espécie os bem lançados fundamentos da segunda decisão do MM Juiz ... que passamos a transcrever: "Isolar o art. 1.003 do C.P.C, do conjunto em que ele se encontra não é fazer obra de intérprete". Se dispõe essa norma de caráter geral que, superadas as dúvidas sobre as declarações iniciais, o juiz mandará avaliar o patrimônio do "de cujus", logo depois (art. 1.007), já então cuidando da hipótese especifica em que todas as partes são capazes, determina a lei que não se procederá à avaliação, se a Fazenda Pública concordar expressamente com o valor atribuído, nas primeiras declarações, aos bens do espólio. O art. 1.008, por seu turno, estabelece que não se fará a avaliação dos bens quando o valor declarado pela Fazenda Pública for aceito pelos herdeiros. Evidentemente, não há como negar que, assim dispondo, o legislador criou para o Estado o dever de, discordando dos valores atribuídos na declaração, declinar os quantitativos que considerar corretos, para que sobre os mesmos se manifestem os interessados. Procurando simplificar o inventário, o novo CPC ensejou aos herdeiros e á Fazenda oportunidade para realização do que HAMILTON MORAES E BARROS chamou de negócio jurídico processual (Comentários ao CPC, IX, 216 e 217). Sua efetivação, entretanto, como a de todo negócio, depende de que ambas as partes digam o que pretendem, coisa que o Estado até agora parece não haver compreendido. Os ilustres e doutos representantes da Fazenda Estadual têm argumentado com a inexistência de cadastro imobiliário, deduzindo desse fato impossibilidade de atender ao disposto na lei. É induvidoso que a observância da norma jurídica não está subordinada à existência de um registro que a administração mesma deve organizar, e que esta não pode prevalecer-se da própria omissão para descumprir o mandamento legal. Mas, ainda que assim não seja, o exame atento do CPC, revela que o valor de cadastro não é obrigatoriamente o que deve prevalecer e que seu caráter é simplesmente informativo e subsidiário. O art. l.002 do Código de ritos não está situado na seção que cuida da avaliação dos bens e sim na parte em que são dirimidas as dúvidas e impugnações sobre as declarações iniciais, isto é, na fase em que são fixados com certeza quem são os interessados na sucessão e qual o patrimônio do espólio. Nessa ocasião, quando vêm aos autos todas as provas destinadas à elucidação do feito, é que se vai buscar, na repartição fiscal um elemento destinado a simplesmente aferir valor dos bens. Poderá a informação não prevalecer, até mesmo porque será frequente a desatualização do cadastro, e por isso ela não é elemento indispensável à fixação posterior do valor (sobre o assunto, veja-se HAMILTON MORAES E BARROS, ob. e vol. cits., pág. 210). De outro lado, é sabido que a ilustrada e operosa Procuradoria dispõe de serviços de apoio e que o Estado conta com eficiente quadro de funcionários especializados na pesquisa de valores de bens (basta lembrar a fiscalização exercida sobre o imposto de transmissão inter vivos), não sendo, portanto, a inexistência do cadastro elemento inteiramente impeditivo da observância da lei. Intolerável é onerar as partes com despesas evitáveis. Inadmissível é frustrar os propósitos simplificadores e, para usar uma palavra em voga, desburocratizantes do atual C. P.C.". - Por esses fundamentos, conhecemos e negamos provimento ao presente agravo de instrumento... Julgado em 07-12-1982 Arquivo do Ementário Forense. TJ/1.196 EMFOR 423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valor do bem inventariado deve resultar do consenso entre os herdeiros e a Fazenda Pública, poupando-se à parte mais fraca a despesa de avaliação (arts. 1.007 e 1.008 do C.P.C.).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2026-10-26T01:57:52.710Z</dcterms:created>
  <dcterms:modified xsi:type="dcterms:W3CDTF">2026-10-26T01:57:52.710Z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