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>
      <w:r>
        <w:rPr>
          <w:b/>
          <w:bCs/>
        </w:rPr>
        <w:t xml:space="preserve">Recurso: </w:t>
      </w:r>
      <w:r>
        <w:t xml:space="preserve">RE 92.483-3</w:t>
      </w:r>
    </w:p>
    <w:p>
      <w:r>
        <w:rPr>
          <w:b/>
          <w:bCs/>
        </w:rPr>
        <w:t xml:space="preserve">Julgado em: </w:t>
      </w:r>
      <w:r>
        <w:t xml:space="preserve">17/08/1981</w:t>
      </w:r>
    </w:p>
    <w:p/>
    <w:p>
      <w:r>
        <w:t xml:space="preserve">QUANDO POR ELA NÃO RESPONDE O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duplicatas em cobrança, segundo se vê do acórdão, referem-se a vendas efetivamente feitas a seus fregueses por A. - Móveis e Decorações Ltda., que emitiu os mencionados títulos, levando-os a desconto no Banco, ora recorrido, com o aval do ora recorrente. - A sentença de primeiro grau e o acórdão julgaram improcedentes os embargos do executado, sob o fundamento de que os tribunais do país têm assentado à unanimidade com o beneplácito do Supremo Tribunal Federal, que a comissão de permanência, cuja cobrança é autorizada pelo Banco Central, é assaz legítima. - Incidiram, no entanto, as mencionadas decisões em lapso de generalização da "Súmula 596 (*)" do Supremo Tribunal Federal, que nenhuma alusão faz a avalista, e divergiram dos acórdãos dessa Primeira Turma, proferidos no RE 92.483-3 e no AI 75.802 (AgRg), que arrimados nos votos dos relatores, Srs. Ministros CUNHA PEIXOTO e RAFAEL MAYER, decidiram, respectivamente. "Ementa: Taxa de permanência cobrada por instituição financeira: Avalista. Não havendo o avalista, em documento à parte, se responsabilizado por outra importância além da mencionada na cártula, não lhe pode ser cobrada a taxa da permanência instituída pela Financeira. Recurso extraordinário não conhecido". "Aval. Nota promissória vinculada a contrato de financiamento. Juros e comissão de permanência. Responsabilidade do avalista. Lei nº 4.598-64. "Súmula 400 (**)". Decisão que, ao exonerar de responsabilidade o avalista por entender que o aval não se confunde com a fiança, se não deu a melhor interpretação, diante do caso concreto, interpretou razoavelmente a prova constante dos autos. Dissídio jurisprudencial inocorrente. Agravo regimental a que se nega provimento". - Ante o exposto, conheço do recurso extraordinário e dou-lhe provimento para julgar procedentes os embargos do executado no tocante à comissão de permanência, compensando-se a verba honorária até o limite da menor sucumbência, incidindo, ao depois, sobre o saldo devedor, em prol do exeqüente. Julgado em 18-08-1981 Revista Trimestral de Jurisprudência, Fevereiro 1983 - Vol. 103 - Pág. 772 (*) "As disposições do Decreto 22.626 de 1933 não se aplicam às taxas de juros e aos outros encargos cobrados nas operações realizadas por instituições públicas ou privadas, que integram o sistema financeiro nacional." ("EMENTÁRIO FORENSE". Nº 340, t. JUROS, st. USURA). (**) "Decisão que deu razoável interpretação à lei, ainda que não seja a melhor, não autoriza recurso extraordinário pela letra 'a' do art. 101, III, da Constituição Federal." ("EMENTÁRIO FORENSE", Nº 191, t. RECURSO EXTRAORDINÁRIO, st. OFENSA À LEI...). EMFOR 424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havendo o avalista, em documento à parte, se responsabilizado por outra importância além da mencionada na cártula, não lhe pode ser cobrada a taxa da permanência instituída pela Financeira.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2026-06-17T15:27:12.437Z</dcterms:created>
  <dcterms:modified xsi:type="dcterms:W3CDTF">2026-06-17T15:27:12.437Z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