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RE 92.483</w:t>
      </w:r>
    </w:p>
    <w:p>
      <w:r>
        <w:rPr>
          <w:b/>
          <w:bCs/>
        </w:rPr>
        <w:t xml:space="preserve">Julgado em: </w:t>
      </w:r>
      <w:r>
        <w:t xml:space="preserve">13/05/1982</w:t>
      </w:r>
    </w:p>
    <w:p/>
    <w:p>
      <w:r>
        <w:t xml:space="preserve">QUANDO POR ELA NÃO RESPONDE O AVALISTA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inconformidade, enquanto procura embasamento na letra "d" da norma constitucional, não apresenta maior viabilidade, no que concerne à "Súmula 596 (*)". - Esse verbete não guarda perfeita adequação à espécie, visto que nesta não se discute a validade da comissão de permanência, mas a sua exigência do avalista, que não assinou nenhum documento obrigando-se por esse acréscimo ao "quantum" da dívida cambial. O mesmo argumento é de invocar-se no concernente ao pretendido ressarcimento das despesas de ISOF. - Os acórdãos dos Tribunais do Ceará e do Rio de Janeiro, realmente, adotaram tese que diverge da orientação da decisão recorrida, pois, aqueles responsabilizaram o avalista em razão do aval, pelo pagamento da comissão de permanência, enquanto que o aresto impugnado decidiu que: "O executado é devedor por aval em notas promissórias, não se co-responsabilizando, jamais em momento algum, pelo solvimento da comissão de permanência, e pelo imposto sobre operações financeiras, que o Banco deveria já ter incluso no valor da cártula. Esta, como documento autônomo, valendo pelo que em seu contexto se contém, só enseja a execução daquele 'quantum' nominalmente expresso". - Entretanto, a orientação do acórdão recorrido afina-se com a jurisprudência desta Primeira Turma consoante se verifica de precedentes relatadas pelos Ministros CUNHA PEIXOTO, RAFAEL MAYER e por mim (RE nº 92.483-SP; RE nº 94.817- SP e Ag (AgRg) nº 75.802 -SP), "verbis": "Avalista. Responsabilidade. Não havendo o avalista, em documento à parte, se responsabilizado por outra importância além da mencionada na cártula, não lhe pode ser cobrada a taxa de permanência". - ................................................................................................................................................................................... - Ante o exposto, conheço em parte do recurso extraordinário e nego-lhe provimento. Julgado em 14-05-1982 Revista Trimestral de Jurisprudência. Março 1983 - Vol. 103 - Pág. 1.283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havendo o avalista, em documento à parte se responsabilizado por outra importância além da mencionada na cártula, não lhe pode ser cobrada a comissão de permanência. (Precedentes; RE 92.483; Ag (AgRg) 75.802 e RE 94.817 - SP).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2026-10-26T04:19:48.691Z</dcterms:created>
  <dcterms:modified xsi:type="dcterms:W3CDTF">2026-10-26T04:19:48.691Z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