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92.483</w:t>
      </w:r>
    </w:p>
    <w:p>
      <w:r>
        <w:rPr>
          <w:b/>
          <w:bCs/>
        </w:rPr>
        <w:t xml:space="preserve">Julgado em: </w:t>
      </w:r>
      <w:r>
        <w:t xml:space="preserve">13/05/1982</w:t>
      </w:r>
    </w:p>
    <w:p/>
    <w:p>
      <w:r>
        <w:t xml:space="preserve">QUANDO POR ELA NÃO RESPONDE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inconformidade, enquanto procura embasamento na letra "d" da norma constitucional, não apresenta maior viabilidade, no que concerne à "Súmula 596 (*)". - Esse verbete não guarda perfeita adequação à espécie, visto que nesta não se discute a validade da comissão de permanência, mas a sua exigência do avalista, que não assinou nenhum documento obrigando-se por esse acréscimo ao "quantum" da dívida cambial. O mesmo argumento é de invocar-se no concernente ao pretendido ressarcimento das despesas de ISOF. - Os acórdãos dos Tribunais do Ceará e do Rio de Janeiro, realmente, adotaram tese que diverge da orientação da decisão recorrida, pois, aqueles responsabilizaram o avalista em razão do aval, pelo pagamento da comissão de permanência, enquanto que o aresto impugnado decidiu que: "O executado é devedor por aval em notas promissórias, não se co-responsabilizando, jamais em momento algum, pelo solvimento da comissão de permanência, e pelo imposto sobre operações financeiras, que o Banco deveria já ter incluso no valor da cártula. Esta, como documento autônomo, valendo pelo que em seu contexto se contém, só enseja a execução daquele 'quantum' nominalmente expresso". - Entretanto, a orientação do acórdão recorrido afina-se com a jurisprudência desta Primeira Turma consoante se verifica de precedentes relatadas pelos Ministros CUNHA PEIXOTO, RAFAEL MAYER e por mim (RE nº 92.483-SP; RE nº 94.817- SP e Ag (AgRg) nº 75.802 -SP), "verbis": "Avalista. Responsabilidade. Não havendo o avalista, em documento à parte, se responsabilizado por outra importância além da mencionada na cártula, não lhe pode ser cobrada a taxa de permanência". - ................................................................................................................................................................................... - Ante o exposto, conheço em parte do recurso extraordinário e nego-lhe provimento. Julgado em 14-05-1982 Revista Trimestral de Jurisprudência. Março 1983 - Vol. 103 - Pág. 1.283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o avalista, em documento à parte se responsabilizado por outra importância além da mencionada na cártula, não lhe pode ser cobrada a comissão de permanência. (Precedentes; RE 92.483; Ag (AgRg) 75.802 e RE 94.817 - SP).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2026-09-10T22:12:31.616Z</dcterms:created>
  <dcterms:modified xsi:type="dcterms:W3CDTF">2026-09-10T22:12:31.616Z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