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Julgado em: </w:t>
      </w:r>
      <w:r>
        <w:t xml:space="preserve">14/09/1981</w:t>
      </w:r>
    </w:p>
    <w:p/>
    <w:p>
      <w:r>
        <w:t xml:space="preserve">SE PERDE SUA EFICÁCIA O LANÇADO POSTERIORMENTE AO VENCIMENTO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acórdão, realmente, limitou-se a manter a sentença, de sorte que os fundamentos do recurso extraordinário incidem sobre a decisão de primeiro grau. - Bem ou mal, ela está fundamentada. Afastou o dolo que teria viciado o aval com objeção de que deveria ter sido denunciado o defeito pelo avalista, assim que não foi cumprida a obrigação concernente à entrega das sacas de café, vale dizer, antes do vencimento do título. - De outro lado, em conhecendo do pretendido vício de consentimento referente ao aval, numa execução ajuizada pelo endossatário da nota promissória reconheceu, implicitamente, a natureza de mera cessão civil do endosso, por isso que realizado depois do vencimento do título. - O que me pareceu confuso e não bem esclarecido, quando do provimento do agravo, considero, agora, com exame dos autos, devidamente claro e definido. A sentença e o acórdão que a confirmou não negaram vigência ao art. 584, III, do Código de Processo Civil, e a eles não se aplicam os acórdãos indicados como paradigma, em face da ausência de identidade ou semelhança entre os casos apreciados nas decisões em cotejo. - Aliás, atualmente o efeito de cessão civil. O art. 20 da Lei Uniforme, acentua RUBENS REQUIÃO, disciplina de modo diferente o endosso tardio, declarando que o endosso posterior ao vencimento tem os mesmos efeitos que o endosso anterior. Apenas o endosso posterior ao protesto por falta de pagamento, ou feito depois de expirado o prazo fixado para se fazer o protesto, é que produz os efeitos de uma cessão ordinária de crédito (Direi to Comercial, 2º volume, pág. 345, 8ª ed. ). - No caso, trata-se de avalista do eminente da nota promissória e não houve, nem era necessário, protesto. Para o credor exigir judicialmente do aceitante ou de seu avalista a dívida cambiária, não é necessário o prévio protesto do título (ob. cit., pág. 367, e RTJ 57/469). - De conseguinte, defeso é ao recorrente, dada a sua condição de avalista do emitente, suscitar em face do endossatário o negócio subjacente do qual teria resultado o aval, e, bem assim alegar a ausência de causa lícita para a estipulação do endosso. - Sobreleva notar que a sentença rejeitou a existência de simulação no endosso, com base nos depoimentos das testemunhas..., que deram notícia do negócio subjacente realizado entre o endossante e o endossatário... . - Ante o exposto, não conheço do recurso extraordinário. Julgado em 15-09-1981 Revista Trimestral de Jurisprudência. Fevereiro 1983 -Vol. 103 - Pág. 779 N. da R. : V. também o t. AVAL, st. PAGAMENTO PARCIAL (Nº 410). EMFOR 424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20 da Lei Uniforme. - Somente o endosso posterior ao protesto por falta de pagamento, ou feito depois de expirado o prazo fixado para se fazer o protesto, é que produz apenas os efeitos de cessão ordinária de crédito. - O endosso posterior ao vencimento da cambial, quando não é obrigatório o protesto, não perde a sua eficácia.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2026-06-17T14:09:22.329Z</dcterms:created>
  <dcterms:modified xsi:type="dcterms:W3CDTF">2026-06-17T14:09:22.329Z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