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14/09/1981</w:t>
      </w:r>
    </w:p>
    <w:p/>
    <w:p>
      <w:r>
        <w:t xml:space="preserve">SE PERDE SUA EFICÁCIA O LANÇADO POSTERIORMENTE AO VENCIMENTO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acórdão, realmente, limitou-se a manter a sentença, de sorte que os fundamentos do recurso extraordinário incidem sobre a decisão de primeiro grau. - Bem ou mal, ela está fundamentada. Afastou o dolo que teria viciado o aval com objeção de que deveria ter sido denunciado o defeito pelo avalista, assim que não foi cumprida a obrigação concernente à entrega das sacas de café, vale dizer, antes do vencimento do título. - De outro lado, em conhecendo do pretendido vício de consentimento referente ao aval, numa execução ajuizada pelo endossatário da nota promissória reconheceu, implicitamente, a natureza de mera cessão civil do endosso, por isso que realizado depois do vencimento do título. - O que me pareceu confuso e não bem esclarecido, quando do provimento do agravo, considero, agora, com exame dos autos, devidamente claro e definido. A sentença e o acórdão que a confirmou não negaram vigência ao art. 584, III, do Código de Processo Civil, e a eles não se aplicam os acórdãos indicados como paradigma, em face da ausência de identidade ou semelhança entre os casos apreciados nas decisões em cotejo. - Aliás, atualmente o efeito de cessão civil. O art. 20 da Lei Uniforme, acentua RUBENS REQUIÃO, disciplina de modo diferente o endosso tardio, declarando que o endosso posterior ao vencimento tem os mesmos efeitos que o endosso anterior. Apenas o endosso posterior ao protesto por falta de pagamento, ou feito depois de expirado o prazo fixado para se fazer o protesto, é que produz os efeitos de uma cessão ordinária de crédito (Direi to Comercial, 2º volume, pág. 345, 8ª ed. ). - No caso, trata-se de avalista do eminente da nota promissória e não houve, nem era necessário, protesto. Para o credor exigir judicialmente do aceitante ou de seu avalista a dívida cambiária, não é necessário o prévio protesto do título (ob. cit., pág. 367, e RTJ 57/469). - De conseguinte, defeso é ao recorrente, dada a sua condição de avalista do emitente, suscitar em face do endossatário o negócio subjacente do qual teria resultado o aval, e, bem assim alegar a ausência de causa lícita para a estipulação do endosso. - Sobreleva notar que a sentença rejeitou a existência de simulação no endosso, com base nos depoimentos das testemunhas..., que deram notícia do negócio subjacente realizado entre o endossante e o endossatário... . - Ante o exposto, não conheço do recurso extraordinário. Julgado em 15-09-1981 Revista Trimestral de Jurisprudência. Fevereiro 1983 -Vol. 103 - Pág. 779 N. da R. : V. também o t. AVAL, st. PAGAMENTO PARCIAL (Nº 410).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20 da Lei Uniforme. - Somente o endosso posterior ao protesto por falta de pagamento, ou feito depois de expirado o prazo fixado para se fazer o protesto, é que produz apenas os efeitos de cessão ordinária de crédito. - O endosso posterior ao vencimento da cambial, quando não é obrigatório o protesto, não perde a sua eficácia.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2026-10-26T03:10:33.080Z</dcterms:created>
  <dcterms:modified xsi:type="dcterms:W3CDTF">2026-10-26T03:10:33.080Z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