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85.741</w:t>
      </w:r>
    </w:p>
    <w:p>
      <w:r>
        <w:rPr>
          <w:b/>
          <w:bCs/>
        </w:rPr>
        <w:t xml:space="preserve">Julgado em: </w:t>
      </w:r>
      <w:r>
        <w:t xml:space="preserve">10/06/1982</w:t>
      </w:r>
    </w:p>
    <w:p/>
    <w:p>
      <w:r>
        <w:t xml:space="preserve">SE É ADMISSÍVEL QUANDO NÃO PEDIDA EXPRESSAMENTE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Realmente, no RE 85.741 - SP, sendo relator o eminente Ministro BILAC PINTO, assim decidiu a 1ª Turma: "Responsabilidade civil. Danos materiais. Incidência da correção monetária como critério de atualização do valor, mesmo que não pedida na inicial. RE não conhecido." ("RTJ" 82/980). - Deixou claro o relator: ".. nestes casos de dívida de valor, quando se procura dar completa reparação do prejuízo sofrido, não se requer, necessariamente, que tal tenha sido pedido com a inicial (veja-se, a propósito, o RE 84.844, relatado pelo Ministro CUNHA PEIXOTO)" (idem, pág. 981). - No mesmo sentido o RE 85.803 - PR, relatado pelo eminente Ministro THOMPSON FLORES, invocado pelo recorrente, embora com base em repertório não autorizado. - Contudo, o Acórdão da 5ª Câmara Civil do Tribunal de Justiça de São Paulo trazido à colação pelo recorrente, em cópia autenticada, sustenta, com apoio em PONTES DE MIRANDA, que a correção monetária é indeclinável, ainda que sem pedido expresso do credor, em se tratando de cobrir danos ("RT" 49/152; "RT" 507/75 e 511/268). - Por esses motivos, conheço do recurso e lhe dou provimento para restabelecer a correção monetária pela sentença. - É o meu voto. Julgado em 11-06-1982 Revista Trimestral de Jurisprudência. Janeiro, 1983 - Vol. 103 - Pág. 441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na composição de perdas e danos é admissível ainda que não pedida expressamente na inicial.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2026-06-17T16:34:39.086Z</dcterms:created>
  <dcterms:modified xsi:type="dcterms:W3CDTF">2026-06-17T16:34:39.086Z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