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05/12/1982</w:t>
      </w:r>
    </w:p>
    <w:p/>
    <w:p>
      <w:r>
        <w:t xml:space="preserve">INEFICÁCIA — RESPEITO AOS PRIVILÉGIOS DOS CREDORES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espécie, a dação, realmente, não quitou, por inteiro, a dívida dos executados, que ainda devem vultosa quantia ao embargado. - Por outro lado, os lotes 5 e 8, que não integram a dação em pagamento, não serão suficientes para pagar todos os credores. - É certo, porém, que ocorreu a hipótese prevista no inciso II do artigo 593 do Código de Processo Civil por que, sem dúvida, ao tempo da alienação já existiam ações capazes de levá-los à insolvência sabido que seus haveres eram inferiores às suas dívidas, como, aliás, reconheceu o acórdão embargado. Embora tendo o referido acórdão concluído que se a avaliação demonstrou o preço real do imóvel objeto da dação, não haveria vantagem prática em reputar ineficaz a dação em pagamento; será mais razoável colocar todos os credores em igualdade de condições, podendo todos pleitear os pagamentos dos débitos, conforme o privilégio de cada, um inclusive do embargado, titular de uma caução. - Por todos esses motivos será mais seguro adotar a solução do voto vencido de tornar ineficaz a caução, para que todos os credores disputem o pagamento de seus créditos como privilegiados ou quirografários, sem conjecturas a respeito dos valores e sempre com o perigo de tratamentos diferentes para soluções de casos semelhantes. - JULGADOS PROCEDENTES OS EMBARGOS. Julgado em 06-12-1982 VOTO VENCIDO DO DESEMBARGADOR EUGENIO DE VASCONCELOS SIGAUD (Relator): - ... O ponto nodal da questão está em que anteriormente à propositura da ação pelo embargante contra a devedora já existia, constituída regularmente, a ca ução do lote de terreno ao Banco embargado, como garantia do seu crédito. - Por outra parte, na dação em pagamento foi dado ao terreno valor superior àquele que, posteriormente, na execução, veio a ser apurado em avaliação judicial ... . - No concernente a pretendida aplicação do artigo 593, nº II, do Código de Processo Civil, é evidente que a alienação do bem não reduziu a devedora à insolvência, ou agravou insolvência já existente. - A norma do art. 593, II, citado somente incide se comprovada tal relação de causalidade entre o ato de disposição e a insolvência, ou seu agravamento. - Há que se considerar, ainda, que o bem em questão estaria sempre caucionado ao embargado, garantindo seu crédito privilegiado. - São estas as razões da minha divergência, desde que não me convenceram os fundamentos do douto voto vencido, que deu suporte aos presentes embargos e que rejeito. IDEM VENCIDO O DESEMBARGADOR ENÉAS MARZANO Arquivo do EMFOR, TJ/1.211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ocorre a hipótese prevista no inciso II do artigo 193 do Código de Processo Civil, há de ser considerada ineficaz a dação em pagamento, a fim de que possam os credores do executado pleitear regularmente o pagamento dos débitos, respeitados os privilégios, inclusive do titular de uma caução (Art. 759 do Código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2026-09-10T22:29:15.892Z</dcterms:created>
  <dcterms:modified xsi:type="dcterms:W3CDTF">2026-09-10T22:29:15.892Z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