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OUTORGA DE ESCRITURA</w:t>
      </w:r>
    </w:p>
    <w:p/>
    <w:p>
      <w:r>
        <w:rPr>
          <w:b/>
          <w:bCs/>
        </w:rPr>
        <w:t xml:space="preserve">Julgado em: </w:t>
      </w:r>
      <w:r>
        <w:t xml:space="preserve">26/04/1983</w:t>
      </w:r>
    </w:p>
    <w:p/>
    <w:p>
      <w:r>
        <w:t xml:space="preserve">PREVALÊNCIA DAS CONSTANTES DO TÍTULO AQUISITIVO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 o nunciante invoca direito para fundar sua legitimidade, a questão pode ser suscitada e apreciada "incidenter tantum". Isso é verdade ainda quando se discutam limites de lotes. A jurisprudência revela às vezes certa propensão à timidez no exame dessa matéria, para a qual, segundo alguns jurados, seria inábil a vida da nunciação. ADROALDO FURTADO FABRÍCIO, Comentários ao Código de Processo Civil, vol. VIII, t. III, Rio, 1980, pág. 590, reduz o problema aos devidos termos, quando assinala que "ao juiz cabe, sim, apreciar e resolver a pendência sobre limites, se a prova lhe permitir"; na razoável seria, com efeito, que a mera suscitação de dúvida quanto à linha divisória bastante para caracterizar a ação como imprópria. Segundo frisa o mesmo autor, "a questão será resolvida incidentalmente, e não como objeto do processo, de modo que a essa resolução não se alargará a autoridade do julgado" (ob. e lug. cit.). - Na espécie, os Embargantes têm o título de domínio, constituído pela carta de remição..., transcrita no registro competente em 22-10-1951 (...). À luz dos dados constantes do laudo de avaliação (...), e do extrato..., o imóvel por eles adquirido mede de comprimento 94 m por um lado e 98,90 m pelo outro, números com os quais coincidem os assinalados na planta... . - Ora, de acordo com o laudo pericial..., essas dimensões não foram preservadas pela construção no lote adjacente. É o que ressalta da resposta negativa ao 1º quesito dos Autores (...). A resposta ao 2º quesito esclarece as diferenças apuradas (...). E a resposta ao 3º quesito afirma que as medidas encontradas para a construção objeto do litígio "ultrapassam a área descrita na escritura" dos Embargados. A conjugação dessas informações permite concluir que a obra rea lmente invade parte do terreno pertencente aos embargantes. - É certo que, no próprio laudo e noutras peças dos autos, numerosas conjecturas se fizeram sobre a exatidão e o significado das dimensões contidas no título dos Autores. suscitaram-se e debateram-se amplamente questões relativas às confrontações do imóvel e às propriedades confrontantes. Com razão, porém, sublinha o voto divergente que "a realidade a ser admitida outra não deve ser senão a constante do título". Enquanto não modificado o registro, prevalecem para os efeitos os dados que ali figuram. Julgado em 27-04-1983 Arquivo do EMFOR, TJ/1.213 EMFOR 424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ação de nunciação de obra nova as dimensões constantes do título aquisitivo prevalecem para todos os efeitos, enquanto não retificado o respectivo registro.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2026-09-10T22:28:59.379Z</dcterms:created>
  <dcterms:modified xsi:type="dcterms:W3CDTF">2026-09-10T22:28:59.379Z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