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>
      <w:r>
        <w:rPr>
          <w:b/>
          <w:bCs/>
        </w:rPr>
        <w:t xml:space="preserve">Julgado em: </w:t>
      </w:r>
      <w:r>
        <w:t xml:space="preserve">04/11/1982</w:t>
      </w:r>
    </w:p>
    <w:p/>
    <w:p>
      <w:r>
        <w:t xml:space="preserve">REGISTRO — EFICÁCIA CONSTITUTIVA - QUAIS OS A ELE SUJEITOS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Tem-se de dar como suposta a existência de uma caução de títulos de crédito a garantir a dívida do recorrente. Considerar diversamente, no sentido em que o fez a sentença de primeiro grau, afastando aquela espécie de penhor, reclamaria de certo um reexame da matéria de fato e uma reinterpretação de cláusulas contratuais inadequadas a esta instância, como se vê das "Súmulas 279 (*) e 454 (**)". - Para dispensar da obrigatoriedade de registro da caução de crédito, o acórdão recorrido valeu-se do disposto no art. 789 do Código Civil. A interpretação desse artigo, em comparação com o art. 791, confere razoabilidade ao entendimento de que o registro, com eficácia constitutiva, só é exigível em relação aos títulos nominativos da dívida pública, pois quanto aos demais ela se constitui pela tradição dos títulos caucionados. - Aliás, a própria recorrente não impugna o entendimento que se deu ao prequestinado dispositivo da lei civil; atacando-a sob a invocação de dispositivos que não foram ventilados. Assim, os preceitos da Lei nº 6.015 que dispõem sobre o registro da caução de títulos de crédito, que não foram versados pelo acórdão recorrido, e, como diz a douta Procuradoria-Geral da república, por uma razão decisiva, a de que o contrato é anterior à vigência da lei registrária invocada. - Por esses motivos, e tendo em consideração os termos do douto parecer, não conheço do recurso. Julgado em 05-11-1982 Revista Trimestral de Jurisprudência. Março, 1982 - Vol. 103 - Pág. 1.233. (*) "Para simples reexame de prova não cabe recurso extraordinário" ("EMENTÁRIO FORENSE" Nº 193, t. R ECURSO EXTRAORDINÁRIO, st. PROVA). (**) "Simples interpretação de cláusulas contratuais não dá lugar a recurso extraordinário." ("EMENTÁRIO FORENSE", Nº 193, t. RECURSO EXTRAORDINÁRIO, st. CONTRATO). EMFOR 424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interpretação do artigo 789 em comparação com o artigo 791, ambos do Código Civil, é razoável o entendimento de que o registro, com eficácia constitutiva, só é exigível em relação aos títulos nominativos da dívida pública, pois, quanto aos demais ela se constitui pela tradição dos títulos caucionados.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2026-06-17T15:26:16.215Z</dcterms:created>
  <dcterms:modified xsi:type="dcterms:W3CDTF">2026-06-17T15:26:16.215Z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