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27/04/1983</w:t>
      </w:r>
    </w:p>
    <w:p/>
    <w:p>
      <w:r>
        <w:t xml:space="preserve">FALTA DE MENÇÃO DO PRAZO PARA DEFESA E DA ADVERTÊNCIA LEGAL — QUANDO SE DECRETA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simples referência ao "prazo legal", não satisfaz, dada a sua obviedade. - THEOTONIO NEGRÃO, em seu sempre consultado Código de Processo Civil, na nota 6 ao art. 225, refere que a menção ao prazo é obrigatória, pena de nulidade da citação. - Por outro lado, a omissão, naquele mandado de citação, da advertência, também obrigatória, contida na parte final do art. 285 do mesmo Código, no sentido de que, à falta de contestação, presumir-se-ão aceitos pelo réu, como verdadeiros, os fatos articulados pelo autor, induz, do mesmo modo, a nulidade da citação. - Em conseqüência, anula-se o processo a partir..., a fim de que se proceda a nova citação. - Isto posto. Dá-se provimento ao recurso, para tal efeito. Julgado em 28-04-1983 Arquivo do EMFOR, TJ/1.218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nula a citação, se do mandado respectivo, não constou a menção ao prazo para defesa, que é obrigatória, a teor do art. 225, VI, do Código de Processo Civil, e foi omitida a advertência, também obrigatória, contida na parte final do art. 285 do mesmo Código.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2026-06-17T15:24:48.542Z</dcterms:created>
  <dcterms:modified xsi:type="dcterms:W3CDTF">2026-06-17T15:24:48.542Z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