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DE PROCESSO CIVIL</w:t>
      </w:r>
    </w:p>
    <w:p>
      <w:r>
        <w:rPr>
          <w:i/>
          <w:iCs/>
          <w:color w:val="666666"/>
        </w:rPr>
        <w:t xml:space="preserve">LEI 7.019 DE 31-08-1982</w:t>
      </w:r>
    </w:p>
    <w:p/>
    <w:p>
      <w:r>
        <w:rPr>
          <w:b/>
          <w:bCs/>
        </w:rPr>
        <w:t xml:space="preserve">Recurso: </w:t>
      </w:r>
      <w:r>
        <w:t xml:space="preserve">RE 92.766</w:t>
      </w:r>
    </w:p>
    <w:p>
      <w:r>
        <w:rPr>
          <w:b/>
          <w:bCs/>
        </w:rPr>
        <w:t xml:space="preserve">Julgado em: </w:t>
      </w:r>
      <w:r>
        <w:t xml:space="preserve">09/08/1982</w:t>
      </w:r>
    </w:p>
    <w:p/>
    <w:p>
      <w:r>
        <w:t xml:space="preserve">DEDUÇÃO — DIREITO DO COMPRADOR NA REVENDA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embargos de divergência, no RE 92.766, invocado pelo Recorrente, assegurou-se o entendimento desta Turma no sentido de que o princípio da não-cumulatividade só resulta atendido se assegurado, ao que compra do IBC, o direito do crédito em relação ao imposto pago nas operações de compra de café feita pela mesma autarquia aos produtores, como decorrência dos conceitos legais tributários. - Pouco importa que em determinada fase intermediária não tenha resultado crédito, seja porque o imposto não deva incidir, seja em decorrência da diminuição do valor da operação. - Aliás, a própria expressão "operações anteriores", no plural, utilizada no art. 23 II, e do Decreto-lei nº 406/68, art. 3º, já demonstra que o montante do crédito corresponde à somas das parcelas do ICM relativo a todas as operações precedentes. - Justo porque é da substância desse imposto, servindo-lhe de base de cálculo, o valor agregado ou acrescido, que se presume ocorrente em cada operação, é impossível admitir que a venda feita pelo IBC ao consumidor, em módulo inferior ao da compra e sem acréscimo do valor - mesmo que o IBC não estivesse revestido da imunidade que no ponto a construção jurisprudencial lhe conferiu - pudesse servir de suporte para o abatimento de montante na operação que sobrevem, se em si mesmo não representa um valor imponível. - Assim é que a solução dada pelo acórdão recorrido, condizente com o verdadeiro sentido da "Súmula 571 (*)", se impõe como decorrência da própria natureza do tributo em causa, pela sua sucessividade e não-cumulatividade sob o critério do valor acrescido, cabendo retroceder em busca da operação anterior que o suportou, para retirar dela a referência para o necessário abatimento na operação atual, t oda vez que intermedeia um lapso ou hiato no curso da imponibilidade, em razão de operação por qualquer motivo. - O atendimento do acórdão paradigma está, portanto, superado, sendo de aplicar-se a "Súmula 286 (* *)", razão porque não conheço do recurso. Julgado em 10-08-1982 Revista Trimestral de Jurisprudência. Janeiro, 1982 - Vol. 103 - Pág. 440. (*) "O comprador de café ao IBC, ainda que sem expedição de nota fiscal, habilita-se quando da comercialização do produto, ao crédito do ICM que incidiu sobre a operação anterior." ("EMENTÁRIO FORENSE", Nº 340). (* *) "Não se conhece do recurso extraordinário fundado em divergência jurisprudencial, quando a orientação do plenário do Supremo Tribunal Federal já se firmou no sentido da decisão recorrida" ("EMENTÁRIO FORENSE ", nº 195, t. RECURSO EXTRAORDINÁRIO, st. DIVERGÊNCIA ...) EMFOR 425 EMENTA: - A multa convencional tem caráter moratório, não impedindo a condenação em honorários advocatícios, que são ônus da sucumbência e devem ser fixados pelo Juiz, ainda que não pedidos expressamente, quando o credor for obrigado a ingressar em Juízo, por inadimplência do devedor. RESUMO DO ACÓRDÃO: - ... Tenho para mim que a razão está com a autora, ora apelante, quando se insurge contra o decisório de primeiro grau, na parte em que julgou indevida, na hipótese dos autos, a verba honorária, tendo-a por inacumulável com a multa convencional, à consideração de que "A cláusula penal tem a destinação específica de cobrir ônus judiciais". - "Data venia" do entendimento esposado pelo ilustre sentenciante, a multa de 10% prevista no item 11, do contrato firmado pelas partes, tem o caráter moratório, não se confundindo e nem se compensando com os honorários de advogado, que são ônus da sucumbência e devem ser fixados pelo Juiz. - Aliás, não mais persiste a divergência jurisprudencial, quanto à possibilidade de cumulação da multa convencional e dos honorários advocatícios, uma vez que a jurisprudência predominante da Excelsa Corte já se firmou no sentido de que "é admissível a cumulação, em relação aos contratos celebrados na vigência do Código de Processo Civil de 1973, porque seu artigo 20, e respectivos parágrafos, revogaram o art. 8º, do Decreto nº 22.626/1933" ("ART", 90/724-726). - Impõe-se, pois, o acolhimento da pretensão da recorrente, que teve de ingressar em Juízo, fazendo-o em 29 de maio de 1980, justamente porque o recorrido não cumprira a sua obrigação de efetuar o pagamento da prestação vencida no dia 8 de março de 1980. - Aduz-se, mais, que a orientação jurisprudencial do Egrégio Supremo Tribunal Federal é, também, no sentido de que os honorários advocatícios são devidos "sempre que o devedor incorre em mora, dispensando-se para a condenação, pedido expresso do credor" (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café comprado ao IBC dá ao torrefador direito ao crédito do ICM que incidiu sobre a operação anterior, ou seja, sobre a operação de compra feita pelo IBC ao produtor.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2026-09-10T22:28:27.418Z</dcterms:created>
  <dcterms:modified xsi:type="dcterms:W3CDTF">2026-09-10T22:28:27.418Z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