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7.019 DE 31-08-1982</w:t>
      </w:r>
    </w:p>
    <w:p/>
    <w:p>
      <w:r>
        <w:rPr>
          <w:b/>
          <w:bCs/>
        </w:rPr>
        <w:t xml:space="preserve">Julgado em: </w:t>
      </w:r>
      <w:r>
        <w:t xml:space="preserve">21/03/1983</w:t>
      </w:r>
    </w:p>
    <w:p/>
    <w:p>
      <w:r>
        <w:t xml:space="preserve">RETENÇÃO — RENÚNCIA EM CLÁUSULA DO CONTRATO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aflorado no apelo, dúvida não resta de que as benfeitorias edificadas no imóvel em apreço o foram de boa fé e com plena autorização da apelada que as autorizou no contrato ... , uma vez que levantadas para preencher a própria finalidade ou destino do arrendamento. - Também aponta a parte final da cláusula 2ª do contrato de arrendamento, assim redigida: "Caso não haja renovação, a outorgada se obriga a demolir e retirar as edificações entregando o terreno completamente livre no prazo máximo de 30 (trinta) dias a contar do término do contrato". - Sustenta, então que tal cláusula sobre impor condição impossível e sujeitar o ato ao arbítrio de uma só das partes, no caso, da apelada, envolve situação que, se admissível, importaria em grande prejuízo para a apelante e em locupletamento ilícito para a apelada. - Tratando-se de edificações de alvenaria, a sua retirada do terreno cuja retomada pretende a autora, impossível será, sem a sua destruição e, se tiverem de permanecer no imóvel, estará se locupletando, ilicitamente, com elas e causando à apelante prejuízos de grande vulto. Expresso, neste particular, o disposto nos arts. 115 a 116, do Código Civil. - Logo, adianta, em face desses mandamentos, a cláusula contratual em tela é nula, reatando à apelada indenizar a ré-apelante do valor atual dessas benfeitorias realizadas de boa fé, bem assim, o direito de retenção do mesmo imóvel, até que esta indenização se efetive. - Conclui, invocando o magistério de ARNOLDO MEDEIROS DA FONSECA, segundo o qual há permissão ao Juiz de rever as cláusulas contratuais que importem em perdas ou prejuízos consideráveis a uma das partes, como é o caso dos autos, com a apelante - Caso Fortuito e Teoria da Imprevisão, 3ª ed. For., págs. 242/244. - De desacolher-se o recurso. - Expressa, a cláusula 2ª do contrato criticado: "O presente contrato terá a duração de 5 (cinco) anos, a começar no dia 1º de julho de 1973 e a terminar no dia 30 de junho de 1978, podendo o mesmo ser renovado, mediante acordo entre os contratantes. Caso não haja renovação, a outorgada se obriga a retirar as edificações entregando o terreno completamente livre no prazo máximo de 30 (trinta) dias a contar do término do contrato". - Portanto, fácil constatar-se, que na devolução do imóvel, este seria entregue livre e desembaraçado. - Força é convir, que as condições avençadas no contrato são perfeitamente licitas, pois, no início da locação, a locatária tinha pleno conhecimento de que deveria retirar as benfeitorias, à ocasião da devolução do imóvel. - Nada justifica o presumir-se que tenha a ré sido induzida em erro ou coação, a aceitar tal cláusula. - O recurso traz como suporte à pretensão contestatória, o enunciado nos arts. 115 e 116, do Código Civil. - A matéria foi muito bem apreciada pelo douto magistrado, nos seguintes termos: "O art. 115 do Código Civil prescreve que é defesa a condição que sujeitar o efeito do ato jurídico ao arbítrio de uma das partes. Não se aplica, por evidente a regra ao caso concreto: o efeito do ato é consequência de expressa manifestação de vontade de ambos os contratantes e depende, por natureza, da edificação que tenha sido feita pela própria ré e da rescisão da locação, fato normal porque a locação não é contrato com prazo absoluto e infindável. Não é, portanto, caso de condição potestativa pura. "No que tange ao art. 116, segundo o qual tem-se por inexistente e a condição fisicamente impossível, melhor sorte não acode a ré, pois, nem física nem juridicamente há impossibilidade de se demolir benfeitoria e de se retirar os materiais. A circunstância de provável dano que a demolição possa trazer a alguns dos materiais empregados não torna a condição impossível, de vez que essa consequência era perfeitamente previsível pela construtora e locatária)". - E prossegue S. Excia. por sustentar a ausência de ilícito locupletamento por parte da autora, porque nada impede que a ré retire os materiais do imóvel. Se nula não é a cláusula em que a ré se obrigou a retirar as benfeitorias, nada há, pois, a indenizar. - É que "a cláusula em tela constitui verdadeira renúncia ao direito de qualquer indenização e igualmente ao direito de retenção. Só assim pode ser interpretada a vontade das partes nesse particular. A ré locou um imóvel e obteve autorização escrita para fazer benfeitorias, obrigando-se a retirá-las ao término do contrato. Renunciou, pois, expressamente a qualquer direito de indenização ou de retenção. E tal renúncia, como sem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no contrato renúncia expressa ao direito de retenção por benfeitorias, não pode o locatário reter a coisa alugada para o fim de ressarcir-se pelo valor delas - "in RT, 511/244".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2026-10-26T02:36:27.439Z</dcterms:created>
  <dcterms:modified xsi:type="dcterms:W3CDTF">2026-10-26T02:36:27.439Z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