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18/10/1982</w:t>
      </w:r>
    </w:p>
    <w:p/>
    <w:p>
      <w:r>
        <w:t xml:space="preserve">ATO LEVADO A EFEITO NA VIGÊNCIA DA SOCIEDADE CONJUGAL — INVALIDADE DO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provimento se impõe, inclusive pela conjugação com a outra vertente do recurso extraordinário. Com efeito, o sentido do art. 1º da Lei 883 é claro e indisputável no sentido de somente permitir o reconhecimento do filho havido fora do matrimônio, após dissolvida a sociedade conjugal. Correto é o argumento que vê no parágrafo único desse artigo, aduzido pela Lei nº 6.515/77, - admitindo, ainda na vigência do casamento, o reconhecimento do filho adulterino em testamento cerrado, a viger após a morte do testador, - a manutenção do óbice, constante do "caput", ao reconhecimento ostensivo e formal, na constância do matrimônio. - Norma proibitiva desse reconhecimento, e de acréscimo a lei de ordem pública, o ato jurídico que a contraria, é radicalmente nulo, por falta de licitude de seu objeto. Reconhecer-lhe validade, ainda que para diferir-lhe a eficácia, como faz o acórdão recorrido, é restringir o alcance da norma legal, o que equivale a negar-lhe vigência. Esse é o entendimento que também se colhe em precedentes desta Corte (RE 93.272). - Pertinente a colocação das ilustradas razões da Autora, de que o declarante do registro carece de pressuposto de legitimidade para a declaração de paternidade de filho havido fora do matrimônio, na constância deste, com a consequente invalidade do ato registrário. - Conheço, portanto, do recurso, por ambas as alíneas invocadas, do permissivo constitucional, e lhe dou provimento para julgar a ação procedente. Julgado em 19-10-1982 Revista Trimestral de Jurisprudência. Agosto, 1983 - Vol. 105 - Pág. 688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Padece de ilegitimidade a declaração de paternidade de filho havido fora do matrimônio, na constância deste, sendo inválido, nessas circunstâncias, o ato de registro do nascimento.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2026-10-26T02:42:25.690Z</dcterms:created>
  <dcterms:modified xsi:type="dcterms:W3CDTF">2026-10-26T02:42:25.690Z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