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MS 79.570</w:t>
      </w:r>
    </w:p>
    <w:p/>
    <w:p>
      <w:r>
        <w:t xml:space="preserve">ENTRADA EM TERRITÓRIO NACIONAL OU DATA DO REGISTRO NA REPARTIÇÃO ADUANEIRA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COMPATÍVEL COM O ARTIGO 19 DO CÓDIGO TRIBUTÁRIO NACIONAL A DISPOSIÇÃO DO ARTIGO 23 DO DECRETO-LEI Nº 37, DE 18-11-1966. Referência: - Código Tributário Nacional, Lei nº 5.172, de 25-10-66, artigos 19, 114 e 116, I. - Decreto-Lei nº 37, de 18-11-1966, artigos 1º, 23 e 44. Incidente de Uniformização de Jurisprudência na AMS nº 79.570 - SP (Pleno, 10-08-1978) Diário da Justiça 163, de 25 de agosto de 1978, pág. 6.187 N. da R.: Para melhor compreensão do enunciado, damos, a seguir, os dispositivos de Lei confrontados: Código Tributário Nacional, art. 19: "O imposto, de competência da União, sobre a importação de produtos estrangeiros tem como fato gerador a entrada destes no território nacional." Decreto-Lei nº 37, art. 23: "Quando se tratar de mercadoria despachada para consumo, considera-se ocorrido o fato gerador na data do registro, na repartição aduaneira, da declaração a que se refere o art. 44." art. 44: "O despacho aduaneiro de mercadoria importada, qualquer que seja o regime, será processado com base em declaração a ser apresentada na repartição aduaneira, como prescrever o regulamento. Parágrafo único. O regulamento fixará o prazo dentro do qual poderão ser efetuadas a apresentação e a modificação da declaração." EMFOR 371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2026-06-17T16:34:59.477Z</dcterms:created>
  <dcterms:modified xsi:type="dcterms:W3CDTF">2026-06-17T16:34:59.477Z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