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MS 79.536</w:t>
      </w:r>
    </w:p>
    <w:p/>
    <w:p>
      <w:r>
        <w:t xml:space="preserve">INFRAÇÃO CAMBIAL — EMBARQUE NO EXTERIOR APÓS O VENCIMENTO DO PRAZO DA GUIA DE EXPORTAÇÃO - QUANDO NÃO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PREVISTA NO ARTIGO 60, ITEM I, DA LEI 3.244, DE 1957, NA REDAÇÃO DO ARTIGO 169 DO DECRETO-LEI Nº 37, DE 1966, NÃO SE APLICA AO CASO DE EMBARQUE DA MERCADORIA NO EXTERIOR APÓS O VENCIMENTO DO PRAZO DE VALIDADE DA RESPECTIVA GUIA DE IMPORTAÇÃO. Referência: - Lei nº 5.025, de 10 de junho de 1966, art. 14. - Resolução do Conselho Nacional de Comércio Exterior nº 60, de 1970 (DO, 27-08-1970, p. 7570). Incidente de Uniformização de Jurisprudência na AMS nº 79.536, Tribunal Pleno, em 31-08-1978 Diário da Justiça 173, de 11 de setembro de 1978, pág. 6797 EMFOR 371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2026-10-26T03:51:09.172Z</dcterms:created>
  <dcterms:modified xsi:type="dcterms:W3CDTF">2026-10-26T03:51:09.172Z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