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Recurso: </w:t>
      </w:r>
      <w:r>
        <w:t xml:space="preserve">Apelação Cível 42.819</w:t>
      </w:r>
    </w:p>
    <w:p/>
    <w:p>
      <w:r>
        <w:t xml:space="preserve">DUPLICIDADE — FERROVIÁRIO - CONDIÇÃO DE EXTRANUMERÁRIO DA UNIÃO À DATA DA AUTARQUIZAÇÃO DA ESTRADA - SE A IMPEDE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CONSTITUI OBSTÁCULO À CONCESSÃO DA DUPLA APOSENTADORIA DE QUE TRATA A LEI Nº 2.752/1956, ARTIGO 1º E PARÁGRAFO ÚNICO, EM FAVOR DE FERROVIÁRIO DA ESTRADA DE FERRO CENTRAL DO BRASIL, O FATO DE DETER A CONDIÇÃO DE EXTRANUMERÁRIO DA UNIÃO FEDERAL À DATA DA AUTARQUIZAÇÃO DA REFERIDA ESTRADA, E NESSA SITUAÇÃO TER SIDO POSTO À SUA DISPOSIÇÃO, NELA OBTENDO MODIFICAÇÕES E MELHORIAS FUNCIONAIS. Referência: - Lei nº 2.752, de 10 de abril de 1956, art. 1º e parágrafo único. - Decreto-Lei nº 3.306, de 24 de maio de 1941. Incidente de Uniformização de Jurisprudência na Apelação Cível nº 42.819 - RJ - (Pleno, em 19-04-1979). EMFOR 371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2026-09-10T23:18:37.432Z</dcterms:created>
  <dcterms:modified xsi:type="dcterms:W3CDTF">2026-09-10T23:18:37.432Z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