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Apelação Cível 42.819</w:t>
      </w:r>
    </w:p>
    <w:p/>
    <w:p>
      <w:r>
        <w:t xml:space="preserve">DUPLICIDADE — FERROVIÁRIO - CONDIÇÃO DE EXTRANUMERÁRIO DA UNIÃO À DATA DA AUTARQUIZAÇÃO DA ESTRADA - SE A IMPEDE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OBSTÁCULO À CONCESSÃO DA DUPLA APOSENTADORIA DE QUE TRATA A LEI Nº 2.752/1956, ARTIGO 1º E PARÁGRAFO ÚNICO, EM FAVOR DE FERROVIÁRIO DA ESTRADA DE FERRO CENTRAL DO BRASIL, O FATO DE DETER A CONDIÇÃO DE EXTRANUMERÁRIO DA UNIÃO FEDERAL À DATA DA AUTARQUIZAÇÃO DA REFERIDA ESTRADA, E NESSA SITUAÇÃO TER SIDO POSTO À SUA DISPOSIÇÃO, NELA OBTENDO MODIFICAÇÕES E MELHORIAS FUNCIONAIS. Referência: - Lei nº 2.752, de 10 de abril de 1956, art. 1º e parágrafo único. - Decreto-Lei nº 3.306, de 24 de maio de 1941. Incidente de Uniformização de Jurisprudência na Apelação Cível nº 42.819 - RJ - (Pleno, em 19-04-1979).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2026-06-17T14:04:28.844Z</dcterms:created>
  <dcterms:modified xsi:type="dcterms:W3CDTF">2026-06-17T14:04:28.844Z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