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Apelação Cível 42.819</w:t>
      </w:r>
    </w:p>
    <w:p/>
    <w:p>
      <w:r>
        <w:t xml:space="preserve">DUPLICIDADE — FERROVIÁRIO - CONDIÇÃO DE EXTRANUMERÁRIO DA UNIÃO À DATA DA AUTARQUIZAÇÃO DA ESTRADA - SE A IMPEDE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OBSTÁCULO À CONCESSÃO DA DUPLA APOSENTADORIA DE QUE TRATA A LEI Nº 2.752/1956, ARTIGO 1º E PARÁGRAFO ÚNICO, EM FAVOR DE FERROVIÁRIO DA ESTRADA DE FERRO CENTRAL DO BRASIL, O FATO DE DETER A CONDIÇÃO DE EXTRANUMERÁRIO DA UNIÃO FEDERAL À DATA DA AUTARQUIZAÇÃO DA REFERIDA ESTRADA, E NESSA SITUAÇÃO TER SIDO POSTO À SUA DISPOSIÇÃO, NELA OBTENDO MODIFICAÇÕES E MELHORIAS FUNCIONAIS. Referência: - Lei nº 2.752, de 10 de abril de 1956, art. 1º e parágrafo único. - Decreto-Lei nº 3.306, de 24 de maio de 1941. Incidente de Uniformização de Jurisprudência na Apelação Cível nº 42.819 - RJ - (Pleno, em 19-04-1979).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2026-10-26T04:35:31.194Z</dcterms:created>
  <dcterms:modified xsi:type="dcterms:W3CDTF">2026-10-26T04:35:31.194Z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