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EMPRÉSTIMO COMPULSÓRIO</w:t>
      </w:r>
    </w:p>
    <w:p>
      <w:r>
        <w:rPr>
          <w:i/>
          <w:iCs/>
          <w:color w:val="666666"/>
        </w:rPr>
        <w:t xml:space="preserve">PASSAGEM INTERNACIONAL E CÂMBIO</w:t>
      </w:r>
    </w:p>
    <w:p/>
    <w:p>
      <w:r>
        <w:rPr>
          <w:b/>
          <w:bCs/>
        </w:rPr>
        <w:t xml:space="preserve">Recurso: </w:t>
      </w:r>
      <w:r>
        <w:t xml:space="preserve">MS 88.364-</w:t>
      </w:r>
    </w:p>
    <w:p>
      <w:r>
        <w:rPr>
          <w:b/>
          <w:bCs/>
        </w:rPr>
        <w:t xml:space="preserve">Tribunal: </w:t>
      </w:r>
      <w:r>
        <w:t xml:space="preserve">TFR</w:t>
      </w:r>
    </w:p>
    <w:p/>
    <w:p>
      <w:r>
        <w:t xml:space="preserve">QUANDO SE RESTRINGE A MÁQUINAS, APARELHOS E EQUIPAMENTOS PRODUZIDOS NO PAÍS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DIREITO DE CRÉDITO A QUE SE REFERE O ART. 36 DO "RIPI", DECRETO Nº 70.162, DE 18-02-72, RESTRINGE-SE ÀS MÁQUINAS, APARELHOS E EQUIPAMENTOS PRODUZIDOS NO PAÍS, NÃO SE ESTENDENDO A MERCADORIAS IMPORTADAS, DE IDÊNTICA NATUREZA, PROVENIENTES DE PAÍS SIGNATÁRIO DO ACORDO GERAL DE TARIFAS E COMÉRCIO (CATT). Referência: - Incidente de Uniformização de Jurisprudência na AMS 88.364-SP, Segunda Seção, em 12-08-1980. - Lei 4.502, de 1964, art. 25, § 2º, com a redação do art. 1º do Decreto-Lei nº 1.136, de 1970. - Decreto nº 70.162, de 1972, art. 36. - Portaria nº 665, de 1974, do Ministério da Fazenda. DJ 05-09-80, p. 8.621 Arquivo do EMFOR TFR/58 EMFOR 389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2026-09-10T22:12:07.695Z</dcterms:created>
  <dcterms:modified xsi:type="dcterms:W3CDTF">2026-09-10T22:12:07.695Z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