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EMPRÉSTIMO COMPULSÓRIO</w:t>
      </w:r>
    </w:p>
    <w:p>
      <w:r>
        <w:rPr>
          <w:i/>
          <w:iCs/>
          <w:color w:val="666666"/>
        </w:rPr>
        <w:t xml:space="preserve">PASSAGEM INTERNACIONAL E CÂMBIO</w:t>
      </w:r>
    </w:p>
    <w:p/>
    <w:p>
      <w:r>
        <w:rPr>
          <w:b/>
          <w:bCs/>
        </w:rPr>
        <w:t xml:space="preserve">Tribunal: </w:t>
      </w:r>
      <w:r>
        <w:t xml:space="preserve">TFR</w:t>
      </w:r>
    </w:p>
    <w:p/>
    <w:p>
      <w:r>
        <w:t xml:space="preserve">APLICAÇÃO DE MULTA AOS INVESTIDORES — SE É LEGÍTIMA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NAS OPERAÇÕES REALIZADAS COM A EMPRESA "INVESTORS OVERSEAS SERVICES", É INDEVIDA A APLICAÇÃO DA MULTA AOS INVESTIDORES, CABENDO A ESTES APENAS O PAGAMENTO DO IMPOSTO DO SELO. Referência: - Lei 4.505, de 1964, art. 29, § 4º. - Decreto 55.852, de 1965, art. 67, II, c/c § 4º. - RR 1.820-RJ (TP 06-03-80 - DJ 01-07-80). - RR 1.386-RJ (TP 11-12-79 - DJ 19-03-80). - EAg 31.756-MG (TP 07-05-74 - DJ 02-12-74). - EAg 31.620-GB (TP 06-09-73 - DJ 18-03-74). - EAg 34.833-GB (TP 07-08-73 - 12-08-74). - AC 49.207-RJ (3ª T. 24-05-78 - DJ 18-05-79). Segunda Seção, em 09-12-1980. Arquivo do EMFOR TFR/80 EMFOR 389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2026-09-11T00:11:55.151Z</dcterms:created>
  <dcterms:modified xsi:type="dcterms:W3CDTF">2026-09-11T00:11:55.151Z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