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EMPRÉSTIMO COMPULSÓRIO</w:t>
      </w:r>
    </w:p>
    <w:p>
      <w:r>
        <w:rPr>
          <w:i/>
          <w:iCs/>
          <w:color w:val="666666"/>
        </w:rPr>
        <w:t xml:space="preserve">PASSAGEM INTERNACIONAL E CÂMBIO</w:t>
      </w:r>
    </w:p>
    <w:p/>
    <w:p>
      <w:r>
        <w:rPr>
          <w:b/>
          <w:bCs/>
        </w:rPr>
        <w:t xml:space="preserve">Recurso: </w:t>
      </w:r>
      <w:r>
        <w:t xml:space="preserve">MS 90.002-</w:t>
      </w:r>
    </w:p>
    <w:p>
      <w:r>
        <w:rPr>
          <w:b/>
          <w:bCs/>
        </w:rPr>
        <w:t xml:space="preserve">Tribunal: </w:t>
      </w:r>
      <w:r>
        <w:t xml:space="preserve">TFR</w:t>
      </w:r>
    </w:p>
    <w:p/>
    <w:p>
      <w:r>
        <w:t xml:space="preserve">CERTIFICADO DE QUITAÇÃO — EXIGÊNCIA - SE É CABÍVEL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CABE EXIGIR DOS MUNICÍPIOS O CERTIFICADO DE QUITAÇÃO, OU DE REGULARIDADE DE SITUAÇÃO. Referência: - AMS 90.002-SP. Segunda Seção, em 10-03-81. - CLPS, Decreto 77.077, de 24-01-76, art. 152, § 5º, "a". DJ 19-03-81, p. 1971 Arquivo do EMFOR, TFR/107 EMFOR 400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2026-10-26T04:14:03.101Z</dcterms:created>
  <dcterms:modified xsi:type="dcterms:W3CDTF">2026-10-26T04:14:03.101Z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