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Recurso: </w:t>
      </w:r>
      <w:r>
        <w:t xml:space="preserve">re 1984</w:t>
      </w:r>
    </w:p>
    <w:p>
      <w:r>
        <w:rPr>
          <w:b/>
          <w:bCs/>
        </w:rPr>
        <w:t xml:space="preserve">Relator: </w:t>
      </w:r>
      <w:r>
        <w:t xml:space="preserve">MARCELO SANTIAGO COSTA</w:t>
      </w:r>
    </w:p>
    <w:p>
      <w:r>
        <w:rPr>
          <w:b/>
          <w:bCs/>
        </w:rPr>
        <w:t xml:space="preserve">Julgado em: </w:t>
      </w:r>
      <w:r>
        <w:t xml:space="preserve">02/04/1984</w:t>
      </w:r>
    </w:p>
    <w:p/>
    <w:p>
      <w:r>
        <w:t xml:space="preserve">ERRO ESSENCIAL — FILHO NATURAL IGNORADO PELA ESPOSA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Restou perfeitamente comprovados nos autos que houve erro essencial por parte da autora em relação à honra e boa fama de seu marido, na forma prevista no art. 219, inciso I, do CC, de vez que este, antes do casamento realizado ..., ocultou da sua futura esposa o fato de ser pai de um filho ... com sua ex-noiva..., com quem se havia comprometido a casar, conforme se vê na certidão de Habilitação para casamento... - O réu, na contestação, alega que por ocasião do seu casamento com a autora, não tinha conhecimento de que sua ex-noiva..., houvesse dado à luz a um filho seu mas esta, em seu depoimento, afirma que o réu, ao ver fracassada a sua tentativa de convencê-la a praticar o aborto, não mais a procurou. O depoimento desta deve ser considerado verossímil, face à prova inequívoca, de que o réu enganou a sua esposa, ao ocultar desta o fato de ter engravidado a ex-noiva. - Ademais, confirmou o réu, na contestação, que procurava outras mulheres... demonstrando, assim, a sua absoluta despreocupação com a honradez e boa fama que a mulher tem o direito de exigir do marido. - Decidiu acertadamente, portanto, o Magistrado, ao decretar a anulação do ato matrimonial, de modo que a sentença em reexame é de ser confirmada. Julgado em 03-04-1984 Jurisprudência Catarinense, 1º Trimestre 1984 - Vol. 43 - Pág. 84 NO MESMO SENTIDO: Apelação o nº 1.410, Tr. Just. R. de Janeiro - 1ª C., Relator: Desembargador MARCELO SANTIAGO COSTA, ac. de 13.07.76, "in" "EMFOR", Nº 389.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Comprovado que, por ocasião do casamento, a mulher ignorava que o marido tinha um filho havido de relações sexuais com outra mulher, resulta caracterizado o erro essencial sobre a pessoa do outro cônjuge que justifica a anulação do casamento.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2026-10-26T04:35:16.863Z</dcterms:created>
  <dcterms:modified xsi:type="dcterms:W3CDTF">2026-10-26T04:35:16.863Z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