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OBRIGATÓRIO</w:t>
      </w:r>
    </w:p>
    <w:p>
      <w:r>
        <w:rPr>
          <w:i/>
          <w:iCs/>
          <w:color w:val="666666"/>
        </w:rPr>
        <w:t xml:space="preserve">AÇÃO DIRETA CONTRA O SEGURADOR</w:t>
      </w:r>
    </w:p>
    <w:p/>
    <w:p>
      <w:r>
        <w:rPr>
          <w:b/>
          <w:bCs/>
        </w:rPr>
        <w:t xml:space="preserve">Tribunal: </w:t>
      </w:r>
      <w:r>
        <w:t xml:space="preserve">TFR</w:t>
      </w:r>
    </w:p>
    <w:p/>
    <w:p>
      <w:r>
        <w:t xml:space="preserve">DEPÓSITO PRÉVIO PARA CUSTEIO DE SUAS DESPESAS — SE A ELE ESTÁ SUJEITA A FAZENDA PÚBLICA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FAZENDA PÚBLICA, NAS EXECUÇÕES FISCAIS, NÃO ESTÁ SUJEITA A PRÉVIO DEPÓSITO PARA CUSTEAR DESPESAS DO AVALIADOR. Referência: - Incidente de Uniformização de Jurisprudência no Ag. 42.260 - SP, Segunda Seção, em 10-11-81. - CPC, art. 27. - Lei 6.830, de 22-09-80, art. 89. Segunda Seção, em 17-11-81 - DJ 24-11-81, p. 11.855. Arquivo do EMFOR, TFR/98 EMFOR 400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2026-06-17T16:34:22.316Z</dcterms:created>
  <dcterms:modified xsi:type="dcterms:W3CDTF">2026-06-17T16:34:22.316Z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