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MEDIDA CAUTELAR INCIDENTAL</w:t>
      </w:r>
    </w:p>
    <w:p/>
    <w:p>
      <w:r>
        <w:rPr>
          <w:b/>
          <w:bCs/>
        </w:rPr>
        <w:t xml:space="preserve">Recurso: </w:t>
      </w:r>
      <w:r>
        <w:t xml:space="preserve">REsp 108.865-</w:t>
      </w:r>
    </w:p>
    <w:p/>
    <w:p>
      <w:r>
        <w:t xml:space="preserve">LIMITE CONSTITUCIONAL — DEPENDÊNCIA DE REGULAMENTAÇÃO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juros remuneratórios, de sua vez, estão claramente fixados na avença, correspondendo a 4% ao mês, não violando qualquer texto legal porque é certo que se admite a necessidade de lei complementar para que se torne exeqüível o enunciado do art. 192, § 3.º, da Constituição da República. - Não há, outrossim, possibilidade de repristinação do art. 1.º do Dec. 22.626/33 em relação às instituições financeiras, mesmo em face do que dispõem os arts. 48, VIII ( sic ), da CR, e 25 do ADCT da mesma Carta. - Realmente, não há dúvida que a Lei 4.595/64 ao dispor, em seu art. 4.º, IX, que cabe ao Conselho Monetário Nacional limitar taxas de juros, implicou em revogação da Lei de Usura relativamente às instituições financeiras. Nesse sentido é a orientação resumida na Súm. 596 do Pretório Excelso e que vem de ser reafirmada pelo REsp 108.865-RS, rel. Min. Sálvio de Figueiredo. - Também não há dúvida que tal disposição perdeu eficácia com o transcurso do prazo de cento e oitenta dias previsto no art. 25 do ADCT da Constituição da República, eis que, é notório, cabe ao Congresso Nacional legislar sobre matéria financeira, cambial e monetária, instituições financeiras e suas operações (CR, art. 48, XIII), já não dispondo, o Banco Central e o Conselho Monetário Nacional, das atribuições que lhes foram conferidas pela lei de reforma bancária. - Ocorre que tal disposição transitória não tem efeito repristinatório, já que isto, no Brasil, por efeito do art. 2.º, § 3.º, da LICC, apenas ocorre expressamente. Anota CAIO MÁRIO DA SILVA PEREIRA ("Instituições de direito civil", Forense, v. 1, p. 127), que "a primeira Lei de Introdução ao Código Civil, de 1916, silenciando a respeito do assunto, relegara para a doutrina a solução da questão. A nova, pronunciando-se na controvérsia, veio exigir o pronunciamento expresso, sem o qual a lei revogadora não tem a qualidade de ripristinar a antiga, ao proclamar que, salvo disposição em contrário, a lei revogada não se restaura por ter a lei revogadora perdido a vigência". - Assim, mesmo considerando não ser atribuição do CMN fixar o limite na taxa de juros, continuam as instituições financeiras livres da limitação contida na Lei de Usura, ao menos enquanto não votada lei complementar ao art. 192 da CF. - Finalmente, o anatocismo também não está configurado, bastando ver o demonstrativo de f. para constatar que os juros não estão capitalizados, mas simplesmente adicionados, sem novos encargos sobre o resultado. - Sob qualquer aspecto, portanto, não pode vingar o pleito recursal. - Ante o exposto, nega-se provimento ao recurso. Ac. de 25-11-1998 Revista dos Tribunais, Outubro de 1999, vol. 768 - pág. 230 EMENTÁRIO FORENSE. Março, 2001. Ano LIII. Nº 628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qualquer violação legal em contrato de confissão e renegociação de dívida que fixa juros remuneratórios em percentual acima de 12% ao ano, uma vez que há a necessidade de lei complementar para que se torne exeqüível o enunciado no art. 192, § 3.º, da CF.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2026-10-26T05:06:55.783Z</dcterms:created>
  <dcterms:modified xsi:type="dcterms:W3CDTF">2026-10-26T05:06:55.783Z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