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CÉDULA DE PRODUTO RURAL</w:t>
      </w:r>
    </w:p>
    <w:p>
      <w:r>
        <w:rPr>
          <w:i/>
          <w:iCs/>
          <w:color w:val="666666"/>
        </w:rPr>
        <w:t xml:space="preserve">MP 2.017 DE 19-01-2000</w:t>
      </w:r>
    </w:p>
    <w:p/>
    <w:p>
      <w:r>
        <w:rPr>
          <w:b/>
          <w:bCs/>
        </w:rPr>
        <w:t xml:space="preserve">Recurso: </w:t>
      </w:r>
      <w:r>
        <w:t xml:space="preserve">recurso extraordinário .</w:t>
      </w:r>
    </w:p>
    <w:p>
      <w:r>
        <w:rPr>
          <w:b/>
          <w:bCs/>
        </w:rPr>
        <w:t xml:space="preserve">Julgado em: </w:t>
      </w:r>
      <w:r>
        <w:t xml:space="preserve">17/04/1986</w:t>
      </w:r>
    </w:p>
    <w:p/>
    <w:p>
      <w:r>
        <w:t xml:space="preserve">PREÇO — FALTA - SE INVALIDA O NEGÓCIO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segundo tema do extraordinário - a cessão é disciplinada pelas normas que regem o contrato de compra e venda e, nestas condições, a falta de estipulação do preço a invalida - vem apoiado na alínea a, alegando-se violação dos arts. 145, inciso IV, e 1.122 do Código Civil e dissídio com v. arestos desta Corte e do Tribunal de Justiça do Estado do Rio Grande do Sul (Revista de jurisprudência do Tribunal de Justiça do Rio Grande do Sul, volume 73/340-343). - O dissídio, entretanto, não ficou demonstrado, pois o aresto do Eg. Tribunal de Justiça do Rio Grande do Sul, no ponto, diz respeito a compromisso de compra e venda e não a cessão de direitos. - E, quanto ao julgado desta Corte, não se mencionaram as circunstâncias de identificação ou assemelhação dos casos confrontados (artigo 322 do Regimento Interno, Súmula nº 291 (*). - Ademais, quanto a esse aspecto, decidiu o acórdão recorrido "verbis": "E, finalmente, o argumento de faltar o preço também não nulifica o documento, pois a cessão tanto pode ser gratuita como onerosa, não se exigindo para ela, as mesmas formalidades da venda e compra definitiva. - Na espécie, foi negócio entre irmãos, quando um deles assumiu a dívida do outro, não havendo porque se exigir o rigor da menção do preço da transação. - O que importa é o documento ter sido validamente assinado pelo cedente e quanto a isso não se põe dúvida". - Como se vê, o aresto impugnado se valeu de duas considerações: a cessão poderia ter sido gratuita e, então, não haveria necessidade, nem mesmo possibilidade, de menção de preço. - Se onerosa, o preço haveria de corresponder ao montante da dívida do cedente perante o cessionário, aliás, irmãos, situação em que negócios dessa espécie não são inusitados. - Para chegar a tais conclusões, naturalmente se valeu de el ementos dos autos, que não podem ser revistos em recurso extraordinário (Súmula nº 279) (**). - Quanto ao tema da prescrição e do início do prazo prescricional, o recorrente, pela letra d, aponta, para confronto, os julgados insertos na RT 230/231 e 415/358. - Mas considerações feitas pelo v. acórdão recorrido, a respeito dessas questões, foram meramente subsidiárias e até conjeturais. - Não influíram no desfecho do julgamento que, por outras razões, concluiu pela improcedência da ação da nulidade. - A propósito, o douto Desembargador SYLVIO DO AMARAL assinalou: "Observa-se, finalmente, que o recorrente se insurge contra argumentos do acórdão recorrido alusivos à prescrição que não compõem o "decisum" e que, citados como mero esforço de fundamentação, não estão sujeitos a reexame pela via excepcional". - Por tudo isso, não conheço do recurso extraordinário seja pela letra a, seja pela d. Julgado em 18-04-1986 Revista Trimestral de Jurisprudência. Vol. 117 - pág. 1.246. (*) "No recurso extraordinário pela letra "d" do artigo 101, III, da constituição, a prova do dissídio jurisprudencial far-se-á por certidão, ou mediante indicação do "Diário da Justiça" ou de repertório de jurisprudência autorizado, com a transcrição do trecho que configure a divergência, mencionadas as circunstâncias que identifiquem e assemelhem os casos confrontados." ("EMFOR", Nº 195, t. RECURSO EXTRAORDINÁRIO, st. DIVERGÊNCIA JURISPRUDENCIAL). (**) "Para simples reexame da prova não cabe recurso extraordinário." ("EMFOR", Nº 193, t. RECURSO EXTRAORDINÁRIO, st. PROVA). EMFOR 466 EMENTA: - A ação de cobrança do cheque está prescrita no prazo de dois anos, a partir de seis meses em que expira o prazo para sua apresentação ao sacado. RESUMO DO ACÓRDÃO: - ... há extinção do processo, com o conhecimento do mérito, em relação aos cheques (2) apresentados ao Banco sacado, sem provisão bancária porque a ação está prejudicada, já que vieram a Juízo quando em vigor a nova lei dos cheques nº 7.357/85 que declara no art. 61 estar prescrita no prazo de 2 anos contados do dia em que se consumar a prescrição do art. 59 e §. Este dispositivo consagra o prazo de 6 meses a contar da data em que expira o prazo para a apresentação (no caso 30 dias). Tais cheques foram emitidos em julho e outubro de 1982, como já consignado. Assim, com relação a estes, o processo está extinto com fundamento no art. 269, IV, do Código do Processo Civil. Ac. de 09-06-1987 Arquivo do EMFOR, TA/842 EMFOR 475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falta de estipulação do preço não invalida a cessão de direitos de compra de imóvel.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2026-06-17T16:42:58.874Z</dcterms:created>
  <dcterms:modified xsi:type="dcterms:W3CDTF">2026-06-17T16:42:58.874Z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