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r>
        <w:rPr>
          <w:b/>
          <w:bCs/>
        </w:rPr>
        <w:t xml:space="preserve">Recurso: </w:t>
      </w:r>
      <w:r>
        <w:t xml:space="preserve">re -</w:t>
      </w:r>
    </w:p>
    <w:p/>
    <w:p>
      <w:r>
        <w:t xml:space="preserve">ART 8º DO ATO DAS DISPOSIÇÕES CONSTITUCIONAIS TRANSITÓRIAS — REGULAMENTA</w:t>
      </w:r>
    </w:p>
    <w:p/>
    <w:p>
      <w:pPr>
        <w:pStyle w:val="Heading2"/>
      </w:pPr>
      <w:r>
        <w:rPr>
          <w:b/>
          <w:bCs/>
        </w:rPr>
        <w:t xml:space="preserve">Ementa</w:t>
      </w:r>
    </w:p>
    <w:p>
      <w:r>
        <w:t xml:space="preserve">MEDIDA PROVISÓRIA Nº 2.151, DE 31 DE MAIO DE 2001 Regulamenta o art. 8º do Ato das Disposições Constitucionais Transitórias e dá outras providências. O PRESIDENTE DA REPÚBLICA, no uso da atribuição que lhe confere o art. 62 da Constituição, adota a seguinte Medida Provisória, com força de lei: CAPÍTULO I DO REGIME DO ANISTIADO POLÍTICO Art. 1º O Regime do Anistiado Político compreende os seguintes direitos: I - declaração da condição de anistiado político; II - reparação econômica, de caráter indenizatório, em prestação única ou em prestação mensal, permanente e continuada; III - contagem, para todos os efeitos, do tempo em que o anistiado político esteve compelido ao afastamento de suas atividades profissionais, em virtude de punição ou de fundada ameaça de punição, por motivo exclusivamente político; e IV - conclusão do curso, a partir do período letivo interrompido, para o punido na condição de estudante, em escola pública, ou registro do respectivo diploma para os que concluíram curso em instituições de ensino no Exterior, de acordo com os critérios estabelecidos pela Lei nº 9.394, de 20 de dezembro de 1996, que "Estabelece Diretrizes e Bases da Educação Nacional". CAPÍTULO II DA DECLARAÇÃO DA CONDIÇÃO DE ANISTIADO POLÍTICO Art. 2º São declarados anistiados políticos aqueles que no período de 18 de setembro de 1946 até 5 de outubro de 1988, por motivação exclusivamente política, foram: I - atingidos por atos de exceção, institucionais ou complementares; II - punidos com transferência para localidade diversa daquela onde exerciam suas atividades profissionais, impondo-se mudanças de local de residência; III - punidos com perda de comissões já incorporadas ao contrato de trabalho; IV - compelidos ao afastamento da atividade profissional remunerada, para acompanhar o cônjuge; V - impedidos de exercer, na vida civil, atividade profissional específica em d ecorrência das Portarias Reservadas do Ministério da Aeronáutica nº S-50-GM5, de 19 de junho de 1964, e nº S-285-GM5; VI - punidos, demitidos ou compelidos ao afastamento das atividades remuneradas que exerciam, sendo trabalhadores do setor privado ou dirigentes e representantes sindicais, bem como impedidos de exercer atividades profissionais em virtude de pressões ostensivas ou expedientes oficiais sigilosos, sendo trabalhadores do setor privado, dirigentes e representantes sindicais; VII - punidos com fundamento em atos de exceção, institucionais ou complementares, ou sofreram punição disciplinar, sendo estudantes; VIII - abrangidos pelo Decreto Legislativo nº 18, de 15 de dezembro de 1961, e pelo Decreto-Lei nº 864, de 12 de setembro de 1969; IX - demitidos, sendo servidores públicos civis e empregados em todos os níveis de governo ou em suas fundações públicas, empresas públicas ou empresas mistas sob controle estatal, exceto nos Comandos militares; X - punidos com a cassação da aposentadoria ou disponibilidade; XI - desligados, expulsos ou de qualquer forma compelidos ao afastamento de suas atividades remuneradas, ainda que com fundamento na legislação comum; XII - punidos com a transferência para a reserva remunerada ou reformados, com perda de proventos, por atos de exceção, institucionais ou complementares; XIII - compelidos a exercer gratuitamente mandato eletivo de vereador, por força de atos institucionais; e XIV - punidos com a cassação de seus mandatos eletivos nos Poderes Legislativo ou Executivo, em todos os níveis de governo. § 1º Nos casos previstos nos incisos XIII e XIV deste artigo, fica garantida apenas a contagem deste tempo para efeito de aposentadoria no serviço público e previdência social. § 2º Fica assegurado o direito de requerer a correspondente declaração aos sucessores ou dependentes daquele que seria beneficiário da condição de anistiado político. CAPÍTULO III D A REPARAÇÃO ECONÔMICA DE CARÁTER INDENIZATÓRIO Art. 3º A reparação econômica de que trata o inciso II do art. 1º desta Medida Provisória correrá à conta do Tesouro Nacional. § 1º A reparação econômica em prestação única não é acumulável com a reparação econômica em prestação mensal, permanente e continuada. § 2º A reparação econômica será concedida mediante portaria do Ministro de Estado da Justiça, após parecer favorável da Comissão de Anistia de que trata o art. 12 desta Medida Provisória. § 3º Não terão direito à reparação econômica referida no caput os anistiados políticos, civis ou militares, que foram readmitidos ou reintegrados, aos respectivos quadros funcionais. Seçã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2026-10-26T02:16:02.707Z</dcterms:created>
  <dcterms:modified xsi:type="dcterms:W3CDTF">2026-10-26T02:16:02.707Z</dcterms:modified>
</cp:coreProperties>
</file>

<file path=docProps/custom.xml><?xml version="1.0" encoding="utf-8"?>
<Properties xmlns="http://schemas.openxmlformats.org/officeDocument/2006/custom-properties" xmlns:vt="http://schemas.openxmlformats.org/officeDocument/2006/docPropsVTypes"/>
</file>