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p>
      <w:r>
        <w:t xml:space="preserve">02. LEI UNIFORME — CONVENÇÕES PARA ADOÇÃO - PROMULGA</w:t>
      </w:r>
    </w:p>
    <w:p/>
    <w:p>
      <w:pPr>
        <w:pStyle w:val="Heading2"/>
      </w:pPr>
      <w:r>
        <w:rPr>
          <w:b/>
          <w:bCs/>
        </w:rPr>
        <w:t xml:space="preserve">Ementa</w:t>
      </w:r>
    </w:p>
    <w:p>
      <w:r>
        <w:t xml:space="preserve">CAPÍTULO V - Dos cheques cruzados e cheques a levar em conta Art. 37 O sacador ou o portador dum cheque pode cruzá-lo, produzindo assim os efeitos indicados no artigo seguinte. O cruzamento efetua-se por meio de duas linhas paralelas traçadas na face do cheque e pode ser geral ou especial. O cruzamento é geral quando consiste apenas nos dois traçados paralelos, ou se entre eles está escrita a palavra "banqueiro" ou outra equivalente; é especial quando tem escrito entre os dois traços o nome dum banqueiro. O cruzamento geral pode ser convertido em cruzamento especial, mas este não pode ser convertido em cruzamento geral. A inutilização do cruzamento ou do nome do banqueiro indicado considera-se como não feita. Art. 38 Um cheque com cruzamento geral só pode ser pago pelo sacado a um banqueiro ou a um cliente do sacado. Um cheque com cruzamento especial só pode ser pago pelo sacado ao banqueiro designado, ou, se este é o sacado, ao seu cliente. O banqueiro designado pode, contudo, recorrer a outro banqueiro para liquidar o cheque. Um banqueiro só pode adquirir um cheque cruzado a um dos seus clientes ou a outro banqueiro. Não pode cobrá-lo por conta doutras pessoas que não sejam as acima indicadas. Um cheque que contenha vários cruzamentos especiais só poderá ser pago pelo sacado no caso de se tratar de dois cruzamentos, dos quais um para liquidação por uma câmara de compensação. O sacado ou o banqueiro que deixar de observar as disposições acima referidas é responsável pelo prejuízo que daí possa resultar até uma importância igual ao valor do cheque. Art. 39 O sacador ou o portador dum cheque podem proibir o seu pagamento em numerário inserindo na face do cheque transversalmente a menção "para levar em conta", ou outra equivalente. Neste caso o sacado só pode fazer a liquidação do cheque por lançamento de escrita (crédito em conta, transferência duma conta para outra ou compensação). A liquidação por lançamento de es crita vale como pagamento. A inutilização da menção "para levar em conta" considera-se como não feita. O sacado que deixar de observar as disposições acima referidas é responsável pelo prejuízo que daí possa resultar até uma importância igual ao valor do cheque. CAPÍTULO VI - Da ação por falta de pagamento Art. 40 O portador pode exercer os seus direitos de ação contra os endossantes, sacador e outros coobrigados, se o cheque, apresentado em tempo útil, não for pago e se a recusa de pagamento for verificada: 1) quer por um ato formal (protesto); 2) quer por uma declaração do sacado, datada e escrita sobre o cheque, com a indicação do dia em que este foi apresentado; 3) quer por uma declaração datada duma câmara de compensação, constatando que o cheque foi apresentado em tempo útil e não foi pago. Art. 41 O protesto ou declaração equivalente devem ser feitos antes de expirar o prazo para a apresentação. Se o cheque for apresentado no último dia do prazo, o protesto ou a declaração equivalente podem ser feitos no primeiro dia útil seguinte. Art. 42 O portador deve avisar da falta de pagamento o seu endossante e o sacador, dentro dos quatro dias úteis que se seguirem ao dia do protesto, ou da declaração equivalente, ou que contiver a cláusula "sem despesas". Cada um dos endossantes deve por sua vez, dentro dos dois dias úteis que se seguirem ao da recepção do aviso, informar o seu endossante do aviso que recebeu, indicando os nomes e endereços dos que enviaram os avisos precedentes, e assim contam-se a partir da recepção do aviso precedente. Quando, em conformidade com o disposto na alínea anterior, se avisou um signatário do cheque, deve avisar-se igualmente o seu avalista dentro do mesmo prazo de tempo. No caso de um endossante não ter indicado o seu endereço, ou de o ter feito de maneira ilegível, basta que o aviso seja enviado ao endossante que o precede. A pessoa que tenha de enviar um aviso pode fazê-lo po r qualquer forma, mesmo pela simples devolução do cheque. Essa pessoa deverá provar que o aviso foi enviado dentro do prazo prescrito. O prazo considerar-se-á como tendo sido observado desde que a carta que contém o aviso tenha sido posta no correio dentro dele. A pessoa que não der o aviso dentro do prazo acima indicado não perde os seus direitos. Será responsável pelo prejuízo, se o houver, motivado pela sua negligência, sem que a responsabilidade possa exceder o valor do cheque. Art. 43 O sacador, um endossante ou um avalista, pode, pela cláusula "sem despesas", "sem protesto", ou outra cláusula eq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2026-06-17T15:23:41.241Z</dcterms:created>
  <dcterms:modified xsi:type="dcterms:W3CDTF">2026-06-17T15:23:41.241Z</dcterms:modified>
</cp:coreProperties>
</file>

<file path=docProps/custom.xml><?xml version="1.0" encoding="utf-8"?>
<Properties xmlns="http://schemas.openxmlformats.org/officeDocument/2006/custom-properties" xmlns:vt="http://schemas.openxmlformats.org/officeDocument/2006/docPropsVTypes"/>
</file>