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25/05/1981</w:t>
      </w:r>
    </w:p>
    <w:p/>
    <w:p>
      <w:r>
        <w:t xml:space="preserve">SUBSTITUIÇÃO DA SENTENÇA — SE COMPREENDE A DETERMINAÇÃO DE PERÍCIA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não negou vigência ao art. 512 do Código de Processo Civil. Estabelece esse dispositivo que "o julgamento proferido pelo Tribunal substituirá a sentença ou a decisão recorrida no que tiver sido objeto de recurso". O autor pleiteou na apelação a reforma da sentença para que a ação fosse julgada procedente em parte, vale dizer, em relação às terras privadas, excluído o usucapião sobre a área pertencente ao Município. O acórdão provendo a apelação para que, mediante perícia, ficasse extremada a área suscetível de usucapião da outra do domínio público, decidiu que se fizesse aquilo que a sentença devia ter determinado, e, assim, substituiu-se nos termos previstos no art. 512 do Código de Processo Civil. - BARBOSA MOREIRA, comentando o art. 561 do Código de Processo Civil, registra a possibilidade de o órgão colegiado converter o julgamento em diligência para determinar que se corrijam falhas na instrução para melhor esclarecimento da espécie, como reza o art. 78, "caput", do Regimento Interno do Tribunal de Justiça do Estado do Rio de Janeiro ordenando, inclusive, a realização de atividade instrutória suplementar, consistente, v.g., em exame pericial (Coments, do CPC de 1973, vol. V, 3ª ed., págs. 764/65). - O acórdão recorrido, ao invés de converter o julgamento em diligência, preferiu cassar a sentença e ordenar a realização de vistoria no imóvel usucapiendo. Essa orientação consulta melhor o princípio do duplo grau de jurisdição. - .. ..................................................................... - Ante o exposto, não conheço do recurso extraordinário. Julgado em 26-05-1981 Revista Trimestral de Jurisprudência. Abril, 1983 - Vol. 104 - Pág. 295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vulnera o art. 512 do Código de Processo Civil, nem diverge das decisões que vedam a "reformatio in pejus", o acórdão que, julgando a apelação em que o autor da ação de usucapião pleiteou a reforma parcial da sentença para ser-lhe declarado o domínio sobre parte do imóvel usucapiendo, cassa a decisão de primeiro grau e determina a realização de perícia, a fim de que se faça justiça com o perfeito conhecimento dos fatos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2026-07-28T02:56:41.198Z</dcterms:created>
  <dcterms:modified xsi:type="dcterms:W3CDTF">2026-07-28T02:56:41.198Z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